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6D586" w14:textId="77777777" w:rsidR="00150AC2" w:rsidRPr="00573EA4" w:rsidRDefault="00150AC2" w:rsidP="00150AC2">
      <w:pPr>
        <w:pStyle w:val="Titulo23"/>
        <w:numPr>
          <w:ilvl w:val="0"/>
          <w:numId w:val="0"/>
        </w:numPr>
        <w:jc w:val="center"/>
        <w:rPr>
          <w:rFonts w:asciiTheme="minorHAnsi" w:hAnsiTheme="minorHAnsi" w:cstheme="minorHAnsi"/>
        </w:rPr>
      </w:pPr>
      <w:r>
        <w:rPr>
          <w:rFonts w:asciiTheme="minorHAnsi" w:hAnsiTheme="minorHAnsi" w:cstheme="minorHAnsi"/>
        </w:rPr>
        <w:t xml:space="preserve">ANEXO 15 </w:t>
      </w:r>
      <w:r w:rsidRPr="00573EA4">
        <w:rPr>
          <w:rFonts w:asciiTheme="minorHAnsi" w:hAnsiTheme="minorHAnsi" w:cstheme="minorHAnsi"/>
        </w:rPr>
        <w:t>SEGURIDAD DE LA INFORMACIÓN</w:t>
      </w:r>
      <w:r>
        <w:rPr>
          <w:rFonts w:asciiTheme="minorHAnsi" w:hAnsiTheme="minorHAnsi" w:cstheme="minorHAnsi"/>
        </w:rPr>
        <w:t>.</w:t>
      </w:r>
    </w:p>
    <w:p w14:paraId="773A549C" w14:textId="77777777" w:rsidR="00150AC2" w:rsidRDefault="00150AC2" w:rsidP="00150AC2">
      <w:pPr>
        <w:pStyle w:val="Prrafodelista"/>
        <w:tabs>
          <w:tab w:val="left" w:pos="-720"/>
          <w:tab w:val="left" w:pos="709"/>
          <w:tab w:val="left" w:pos="1440"/>
        </w:tabs>
        <w:suppressAutoHyphens/>
        <w:spacing w:line="276" w:lineRule="auto"/>
        <w:ind w:left="360"/>
        <w:jc w:val="both"/>
        <w:rPr>
          <w:rFonts w:asciiTheme="minorHAnsi" w:hAnsiTheme="minorHAnsi" w:cstheme="minorHAnsi"/>
          <w:sz w:val="22"/>
          <w:szCs w:val="22"/>
        </w:rPr>
      </w:pPr>
    </w:p>
    <w:p w14:paraId="13CCEA32" w14:textId="77777777" w:rsidR="00150AC2" w:rsidRPr="00F464BF" w:rsidRDefault="00150AC2" w:rsidP="00150AC2">
      <w:pPr>
        <w:pStyle w:val="Sinespaciado"/>
        <w:jc w:val="both"/>
      </w:pPr>
      <w:r>
        <w:rPr>
          <w:rFonts w:asciiTheme="minorHAnsi" w:hAnsiTheme="minorHAnsi" w:cstheme="minorHAnsi"/>
          <w:lang w:val="es-ES"/>
        </w:rPr>
        <w:t xml:space="preserve">El proyecto propuesto </w:t>
      </w:r>
      <w:r>
        <w:t xml:space="preserve">y el proponente </w:t>
      </w:r>
      <w:r w:rsidRPr="00604D92">
        <w:t>debe</w:t>
      </w:r>
      <w:r>
        <w:t>rán cumplir con todo</w:t>
      </w:r>
      <w:r w:rsidRPr="00604D92">
        <w:t>s l</w:t>
      </w:r>
      <w:r>
        <w:t>o</w:t>
      </w:r>
      <w:r w:rsidRPr="00604D92">
        <w:t xml:space="preserve">s </w:t>
      </w:r>
      <w:r>
        <w:t xml:space="preserve">  requerimientos</w:t>
      </w:r>
      <w:r w:rsidRPr="00604D92">
        <w:t xml:space="preserve"> exigid</w:t>
      </w:r>
      <w:r>
        <w:t>o</w:t>
      </w:r>
      <w:r w:rsidRPr="00604D92">
        <w:t xml:space="preserve">s </w:t>
      </w:r>
      <w:r>
        <w:t xml:space="preserve">en el  presente Anexo.  A su vez el proponente deberá indicar en su propuesta la metodología y modalidad de cumplimiento de cada uno de los requerimientos indicados a continuación. </w:t>
      </w:r>
    </w:p>
    <w:p w14:paraId="37414E04" w14:textId="77777777" w:rsidR="00150AC2" w:rsidRPr="00634569" w:rsidRDefault="00150AC2" w:rsidP="00150AC2">
      <w:pPr>
        <w:pStyle w:val="Prrafodelista"/>
        <w:tabs>
          <w:tab w:val="left" w:pos="-720"/>
          <w:tab w:val="left" w:pos="709"/>
          <w:tab w:val="left" w:pos="1440"/>
        </w:tabs>
        <w:suppressAutoHyphens/>
        <w:spacing w:line="276" w:lineRule="auto"/>
        <w:ind w:left="360"/>
        <w:jc w:val="both"/>
        <w:rPr>
          <w:rFonts w:asciiTheme="minorHAnsi" w:hAnsiTheme="minorHAnsi" w:cstheme="minorHAnsi"/>
          <w:sz w:val="22"/>
          <w:szCs w:val="22"/>
          <w:lang w:val="es-CO"/>
        </w:rPr>
      </w:pPr>
    </w:p>
    <w:p w14:paraId="5F5ABEBA" w14:textId="77777777" w:rsidR="00150AC2" w:rsidRPr="00C26457" w:rsidRDefault="00150AC2" w:rsidP="00150AC2">
      <w:pPr>
        <w:pStyle w:val="Prrafodelista"/>
        <w:numPr>
          <w:ilvl w:val="1"/>
          <w:numId w:val="1"/>
        </w:numPr>
        <w:spacing w:line="276" w:lineRule="auto"/>
        <w:jc w:val="both"/>
        <w:rPr>
          <w:rFonts w:asciiTheme="minorHAnsi" w:hAnsiTheme="minorHAnsi" w:cs="Arial"/>
          <w:sz w:val="22"/>
          <w:szCs w:val="22"/>
          <w:lang w:val="es-CO"/>
        </w:rPr>
      </w:pPr>
      <w:r w:rsidRPr="00C26457">
        <w:rPr>
          <w:rFonts w:asciiTheme="minorHAnsi" w:hAnsiTheme="minorHAnsi" w:cstheme="minorHAnsi"/>
          <w:b/>
          <w:sz w:val="22"/>
          <w:szCs w:val="22"/>
        </w:rPr>
        <w:t>Políticas del SGSI</w:t>
      </w:r>
      <w:r>
        <w:rPr>
          <w:rStyle w:val="Refdenotaalpie"/>
          <w:rFonts w:asciiTheme="minorHAnsi" w:hAnsiTheme="minorHAnsi" w:cstheme="minorHAnsi"/>
          <w:b/>
          <w:sz w:val="22"/>
          <w:szCs w:val="22"/>
        </w:rPr>
        <w:footnoteReference w:id="1"/>
      </w:r>
      <w:r w:rsidRPr="00C26457">
        <w:rPr>
          <w:rFonts w:asciiTheme="minorHAnsi" w:hAnsiTheme="minorHAnsi" w:cstheme="minorHAnsi"/>
          <w:b/>
          <w:sz w:val="22"/>
          <w:szCs w:val="22"/>
        </w:rPr>
        <w:t>:</w:t>
      </w:r>
      <w:r w:rsidRPr="00C26457">
        <w:rPr>
          <w:rFonts w:asciiTheme="minorHAnsi" w:hAnsiTheme="minorHAnsi" w:cstheme="minorHAnsi"/>
          <w:sz w:val="22"/>
          <w:szCs w:val="22"/>
        </w:rPr>
        <w:t xml:space="preserve"> </w:t>
      </w:r>
      <w:r w:rsidRPr="00C26457">
        <w:rPr>
          <w:rFonts w:asciiTheme="minorHAnsi" w:hAnsiTheme="minorHAnsi" w:cs="Arial"/>
          <w:sz w:val="22"/>
          <w:szCs w:val="22"/>
          <w:lang w:val="es-CO"/>
        </w:rPr>
        <w:t>Para efectos del control de acceso nos referiremos en este documento a Clientes, Usuarios y Funcionarios</w:t>
      </w:r>
      <w:r>
        <w:rPr>
          <w:rFonts w:asciiTheme="minorHAnsi" w:hAnsiTheme="minorHAnsi" w:cs="Arial"/>
          <w:sz w:val="22"/>
          <w:szCs w:val="22"/>
          <w:lang w:val="es-CO"/>
        </w:rPr>
        <w:t>. El proponente deberá cumplir con los siguientes requerimientos</w:t>
      </w:r>
      <w:r w:rsidRPr="00C26457">
        <w:rPr>
          <w:rFonts w:asciiTheme="minorHAnsi" w:hAnsiTheme="minorHAnsi" w:cs="Arial"/>
          <w:sz w:val="22"/>
          <w:szCs w:val="22"/>
          <w:lang w:val="es-CO"/>
        </w:rPr>
        <w:t>:</w:t>
      </w:r>
    </w:p>
    <w:p w14:paraId="3753C627" w14:textId="77777777" w:rsidR="00150AC2" w:rsidRPr="00A806BF" w:rsidRDefault="00150AC2" w:rsidP="00150AC2">
      <w:pPr>
        <w:ind w:left="720"/>
        <w:jc w:val="both"/>
        <w:rPr>
          <w:rFonts w:asciiTheme="minorHAnsi" w:hAnsiTheme="minorHAnsi" w:cs="Arial"/>
          <w:sz w:val="22"/>
          <w:szCs w:val="22"/>
          <w:lang w:val="es-CO"/>
        </w:rPr>
      </w:pPr>
    </w:p>
    <w:p w14:paraId="23E5A52E" w14:textId="77777777" w:rsidR="00150AC2" w:rsidRPr="00004353" w:rsidRDefault="00150AC2" w:rsidP="00150AC2">
      <w:pPr>
        <w:numPr>
          <w:ilvl w:val="0"/>
          <w:numId w:val="8"/>
        </w:numPr>
        <w:jc w:val="both"/>
        <w:rPr>
          <w:rFonts w:asciiTheme="minorHAnsi" w:hAnsiTheme="minorHAnsi" w:cs="Arial"/>
          <w:sz w:val="22"/>
          <w:szCs w:val="22"/>
          <w:lang w:val="es-CO"/>
        </w:rPr>
      </w:pPr>
      <w:r w:rsidRPr="00004353">
        <w:rPr>
          <w:rFonts w:asciiTheme="minorHAnsi" w:hAnsiTheme="minorHAnsi" w:cs="Arial"/>
          <w:sz w:val="22"/>
          <w:szCs w:val="22"/>
          <w:lang w:val="es-CO"/>
        </w:rPr>
        <w:t>El sistema debe contar con un módulo de administración y control de acceso sincronizado.</w:t>
      </w:r>
    </w:p>
    <w:p w14:paraId="3BFE957A" w14:textId="77777777" w:rsidR="00150AC2" w:rsidRPr="00DC47EC" w:rsidRDefault="00150AC2" w:rsidP="00150AC2">
      <w:pPr>
        <w:pStyle w:val="Sinespaciado"/>
        <w:ind w:left="754"/>
        <w:jc w:val="both"/>
        <w:rPr>
          <w:rFonts w:asciiTheme="minorHAnsi" w:hAnsiTheme="minorHAnsi"/>
          <w:lang w:eastAsia="es-CO"/>
        </w:rPr>
      </w:pPr>
    </w:p>
    <w:p w14:paraId="30B932E7" w14:textId="77777777" w:rsidR="00150AC2" w:rsidRPr="006953C7" w:rsidRDefault="00150AC2" w:rsidP="00150AC2">
      <w:pPr>
        <w:numPr>
          <w:ilvl w:val="0"/>
          <w:numId w:val="8"/>
        </w:numPr>
        <w:jc w:val="both"/>
        <w:rPr>
          <w:rFonts w:asciiTheme="minorHAnsi" w:hAnsiTheme="minorHAnsi" w:cs="Arial"/>
          <w:sz w:val="22"/>
          <w:szCs w:val="22"/>
          <w:lang w:val="es-CO"/>
        </w:rPr>
      </w:pPr>
      <w:r w:rsidRPr="006953C7">
        <w:rPr>
          <w:rFonts w:asciiTheme="minorHAnsi" w:hAnsiTheme="minorHAnsi" w:cs="Arial"/>
          <w:sz w:val="22"/>
          <w:szCs w:val="22"/>
          <w:lang w:val="es-CO"/>
        </w:rPr>
        <w:t>El control de acceso debe funcionar en el esquema de roles y responsabilidades y poseer control dual para las o</w:t>
      </w:r>
      <w:r>
        <w:rPr>
          <w:rFonts w:asciiTheme="minorHAnsi" w:hAnsiTheme="minorHAnsi" w:cs="Arial"/>
          <w:sz w:val="22"/>
          <w:szCs w:val="22"/>
          <w:lang w:val="es-CO"/>
        </w:rPr>
        <w:t>peraciones críticas si las hay.</w:t>
      </w:r>
    </w:p>
    <w:p w14:paraId="4BE289A1" w14:textId="77777777" w:rsidR="00150AC2" w:rsidRPr="00A806BF" w:rsidRDefault="00150AC2" w:rsidP="00150AC2">
      <w:pPr>
        <w:ind w:left="1069"/>
        <w:jc w:val="both"/>
        <w:rPr>
          <w:rFonts w:asciiTheme="minorHAnsi" w:hAnsiTheme="minorHAnsi" w:cs="Arial"/>
          <w:sz w:val="22"/>
          <w:szCs w:val="22"/>
          <w:lang w:val="es-CO"/>
        </w:rPr>
      </w:pPr>
    </w:p>
    <w:p w14:paraId="4CC6CACA" w14:textId="77777777" w:rsidR="00150AC2" w:rsidRPr="00A806BF" w:rsidRDefault="00150AC2" w:rsidP="00150AC2">
      <w:pPr>
        <w:numPr>
          <w:ilvl w:val="0"/>
          <w:numId w:val="8"/>
        </w:numPr>
        <w:jc w:val="both"/>
        <w:rPr>
          <w:rFonts w:asciiTheme="minorHAnsi" w:hAnsiTheme="minorHAnsi" w:cs="Arial"/>
          <w:b/>
          <w:bCs/>
          <w:kern w:val="32"/>
          <w:sz w:val="22"/>
          <w:szCs w:val="22"/>
          <w:lang w:val="es-CO"/>
        </w:rPr>
      </w:pPr>
      <w:r w:rsidRPr="00A806BF">
        <w:rPr>
          <w:rFonts w:asciiTheme="minorHAnsi" w:hAnsiTheme="minorHAnsi" w:cs="Arial"/>
          <w:sz w:val="22"/>
          <w:szCs w:val="22"/>
          <w:lang w:val="es-CO"/>
        </w:rPr>
        <w:t>La solución debe contar con un mecanismo de autenticación, administración y monitoreo para el control de acceso desde los equipos</w:t>
      </w:r>
      <w:r>
        <w:rPr>
          <w:rFonts w:asciiTheme="minorHAnsi" w:hAnsiTheme="minorHAnsi" w:cs="Arial"/>
          <w:sz w:val="22"/>
          <w:szCs w:val="22"/>
          <w:lang w:val="es-CO"/>
        </w:rPr>
        <w:t>.</w:t>
      </w:r>
    </w:p>
    <w:p w14:paraId="015E9768" w14:textId="77777777" w:rsidR="00150AC2" w:rsidRPr="00A806BF" w:rsidRDefault="00150AC2" w:rsidP="00150AC2">
      <w:pPr>
        <w:ind w:left="349"/>
        <w:jc w:val="both"/>
        <w:rPr>
          <w:rFonts w:asciiTheme="minorHAnsi" w:hAnsiTheme="minorHAnsi" w:cs="Arial"/>
          <w:sz w:val="22"/>
          <w:szCs w:val="22"/>
          <w:lang w:val="es-CO"/>
        </w:rPr>
      </w:pPr>
    </w:p>
    <w:p w14:paraId="24E3131A" w14:textId="77777777" w:rsidR="00150AC2" w:rsidRPr="00A806BF" w:rsidRDefault="00150AC2" w:rsidP="00150AC2">
      <w:pPr>
        <w:numPr>
          <w:ilvl w:val="0"/>
          <w:numId w:val="8"/>
        </w:numPr>
        <w:jc w:val="both"/>
        <w:rPr>
          <w:rFonts w:asciiTheme="minorHAnsi" w:hAnsiTheme="minorHAnsi" w:cs="Arial"/>
          <w:sz w:val="22"/>
          <w:szCs w:val="22"/>
          <w:lang w:val="es-CO"/>
        </w:rPr>
      </w:pPr>
      <w:r w:rsidRPr="00A806BF">
        <w:rPr>
          <w:rFonts w:asciiTheme="minorHAnsi" w:hAnsiTheme="minorHAnsi" w:cs="Arial"/>
          <w:sz w:val="22"/>
          <w:szCs w:val="22"/>
          <w:lang w:val="es-CO"/>
        </w:rPr>
        <w:t>El sistema debe contar con facilidades implementadas para el control por parte de los administradores de acceso, tales como consultas y listados para circu</w:t>
      </w:r>
      <w:r>
        <w:rPr>
          <w:rFonts w:asciiTheme="minorHAnsi" w:hAnsiTheme="minorHAnsi" w:cs="Arial"/>
          <w:sz w:val="22"/>
          <w:szCs w:val="22"/>
          <w:lang w:val="es-CO"/>
        </w:rPr>
        <w:t>larizar opciones y privilegios.</w:t>
      </w:r>
    </w:p>
    <w:p w14:paraId="36608744" w14:textId="77777777" w:rsidR="00150AC2" w:rsidRPr="00A806BF" w:rsidRDefault="00150AC2" w:rsidP="00150AC2">
      <w:pPr>
        <w:ind w:left="349"/>
        <w:jc w:val="both"/>
        <w:rPr>
          <w:rFonts w:asciiTheme="minorHAnsi" w:hAnsiTheme="minorHAnsi" w:cs="Arial"/>
          <w:sz w:val="22"/>
          <w:szCs w:val="22"/>
          <w:lang w:val="es-CO"/>
        </w:rPr>
      </w:pPr>
    </w:p>
    <w:p w14:paraId="3032113C" w14:textId="77777777" w:rsidR="00150AC2" w:rsidRPr="00A806BF" w:rsidRDefault="00150AC2" w:rsidP="00150AC2">
      <w:pPr>
        <w:numPr>
          <w:ilvl w:val="0"/>
          <w:numId w:val="8"/>
        </w:numPr>
        <w:jc w:val="both"/>
        <w:rPr>
          <w:rFonts w:asciiTheme="minorHAnsi" w:hAnsiTheme="minorHAnsi" w:cs="Arial"/>
          <w:sz w:val="22"/>
          <w:szCs w:val="22"/>
          <w:lang w:val="es-CO"/>
        </w:rPr>
      </w:pPr>
      <w:r w:rsidRPr="00A806BF">
        <w:rPr>
          <w:rFonts w:asciiTheme="minorHAnsi" w:hAnsiTheme="minorHAnsi" w:cs="Arial"/>
          <w:sz w:val="22"/>
          <w:szCs w:val="22"/>
          <w:lang w:val="es-CO"/>
        </w:rPr>
        <w:t>El sistema debe contar con un histórico de quienes han tenido acceso al sistema junto con sus atributos, inclusive después de la desvinculaci</w:t>
      </w:r>
      <w:r>
        <w:rPr>
          <w:rFonts w:asciiTheme="minorHAnsi" w:hAnsiTheme="minorHAnsi" w:cs="Arial"/>
          <w:sz w:val="22"/>
          <w:szCs w:val="22"/>
          <w:lang w:val="es-CO"/>
        </w:rPr>
        <w:t>ón para el caso de funcionarios.</w:t>
      </w:r>
    </w:p>
    <w:p w14:paraId="0BCBFE92" w14:textId="77777777" w:rsidR="00150AC2" w:rsidRDefault="00150AC2" w:rsidP="00150AC2">
      <w:pPr>
        <w:ind w:left="1434"/>
        <w:rPr>
          <w:rFonts w:asciiTheme="minorHAnsi" w:hAnsiTheme="minorHAnsi" w:cs="Arial"/>
          <w:sz w:val="22"/>
          <w:szCs w:val="22"/>
          <w:highlight w:val="cyan"/>
        </w:rPr>
      </w:pPr>
    </w:p>
    <w:p w14:paraId="2BF1DD5D" w14:textId="77777777" w:rsidR="00150AC2" w:rsidRPr="00C05054" w:rsidRDefault="00150AC2" w:rsidP="00150AC2">
      <w:pPr>
        <w:ind w:left="1434"/>
        <w:rPr>
          <w:rFonts w:asciiTheme="minorHAnsi" w:hAnsiTheme="minorHAnsi" w:cs="Arial"/>
          <w:sz w:val="22"/>
          <w:szCs w:val="22"/>
          <w:highlight w:val="cyan"/>
        </w:rPr>
      </w:pPr>
    </w:p>
    <w:p w14:paraId="78C606B5" w14:textId="77777777" w:rsidR="00150AC2" w:rsidRPr="00C26457" w:rsidRDefault="00150AC2" w:rsidP="00150AC2">
      <w:pPr>
        <w:pStyle w:val="Prrafodelista"/>
        <w:ind w:left="720"/>
        <w:jc w:val="both"/>
        <w:rPr>
          <w:rFonts w:ascii="Arial" w:hAnsi="Arial" w:cs="Arial"/>
          <w:sz w:val="18"/>
          <w:szCs w:val="18"/>
          <w:highlight w:val="yellow"/>
          <w:lang w:val="es-CO"/>
        </w:rPr>
      </w:pPr>
      <w:bookmarkStart w:id="0" w:name="_GoBack"/>
      <w:bookmarkEnd w:id="0"/>
    </w:p>
    <w:p w14:paraId="5FFC4A5C" w14:textId="77777777" w:rsidR="00150AC2" w:rsidRDefault="00150AC2" w:rsidP="00150AC2">
      <w:pPr>
        <w:pStyle w:val="Prrafodelista"/>
        <w:numPr>
          <w:ilvl w:val="1"/>
          <w:numId w:val="1"/>
        </w:numPr>
        <w:spacing w:line="276" w:lineRule="auto"/>
        <w:jc w:val="both"/>
        <w:rPr>
          <w:rFonts w:asciiTheme="minorHAnsi" w:hAnsiTheme="minorHAnsi" w:cstheme="minorHAnsi"/>
          <w:sz w:val="22"/>
          <w:szCs w:val="22"/>
        </w:rPr>
      </w:pPr>
      <w:r w:rsidRPr="00550574">
        <w:rPr>
          <w:rFonts w:asciiTheme="minorHAnsi" w:hAnsiTheme="minorHAnsi" w:cstheme="minorHAnsi"/>
          <w:b/>
          <w:sz w:val="22"/>
          <w:szCs w:val="22"/>
        </w:rPr>
        <w:t>Habeas Data:</w:t>
      </w:r>
      <w:r w:rsidRPr="00550574">
        <w:rPr>
          <w:rFonts w:asciiTheme="minorHAnsi" w:hAnsiTheme="minorHAnsi" w:cstheme="minorHAnsi"/>
          <w:sz w:val="22"/>
          <w:szCs w:val="22"/>
        </w:rPr>
        <w:t xml:space="preserve"> Para el cumplimiento de esta Ley, es necesario que la solución permita tener segmentada la información de Clientes porque está sujeta a Reserva Bancaria y se debe tratar como información confidencial. Igualmente, si llegara a almacenar información de proveedores, este segmento debe tener un tratamiento propio de reserva comercial.</w:t>
      </w:r>
    </w:p>
    <w:p w14:paraId="6CBD87F5" w14:textId="77777777" w:rsidR="00150AC2" w:rsidRDefault="00150AC2" w:rsidP="00150AC2">
      <w:pPr>
        <w:pStyle w:val="Prrafodelista"/>
        <w:spacing w:line="276" w:lineRule="auto"/>
        <w:ind w:left="360"/>
        <w:jc w:val="both"/>
        <w:rPr>
          <w:rFonts w:asciiTheme="minorHAnsi" w:hAnsiTheme="minorHAnsi" w:cstheme="minorHAnsi"/>
          <w:b/>
          <w:sz w:val="22"/>
          <w:szCs w:val="22"/>
        </w:rPr>
      </w:pPr>
    </w:p>
    <w:p w14:paraId="3E15A85B" w14:textId="77777777" w:rsidR="00150AC2" w:rsidRDefault="00150AC2" w:rsidP="00150AC2">
      <w:pPr>
        <w:pStyle w:val="Prrafodelista"/>
        <w:numPr>
          <w:ilvl w:val="1"/>
          <w:numId w:val="1"/>
        </w:numPr>
        <w:spacing w:line="276" w:lineRule="auto"/>
        <w:jc w:val="both"/>
        <w:rPr>
          <w:rFonts w:asciiTheme="minorHAnsi" w:hAnsiTheme="minorHAnsi" w:cstheme="minorHAnsi"/>
          <w:snapToGrid w:val="0"/>
          <w:sz w:val="22"/>
          <w:szCs w:val="22"/>
        </w:rPr>
      </w:pPr>
      <w:r w:rsidRPr="00A81289">
        <w:rPr>
          <w:rFonts w:asciiTheme="minorHAnsi" w:hAnsiTheme="minorHAnsi" w:cstheme="minorHAnsi"/>
          <w:b/>
          <w:snapToGrid w:val="0"/>
          <w:sz w:val="22"/>
          <w:szCs w:val="22"/>
        </w:rPr>
        <w:t>Circular externa 042 de 2012</w:t>
      </w:r>
      <w:r>
        <w:rPr>
          <w:rFonts w:asciiTheme="minorHAnsi" w:hAnsiTheme="minorHAnsi" w:cstheme="minorHAnsi"/>
          <w:b/>
          <w:snapToGrid w:val="0"/>
          <w:sz w:val="22"/>
          <w:szCs w:val="22"/>
        </w:rPr>
        <w:t xml:space="preserve">. </w:t>
      </w:r>
      <w:r w:rsidRPr="00A81289">
        <w:rPr>
          <w:rFonts w:asciiTheme="minorHAnsi" w:hAnsiTheme="minorHAnsi" w:cstheme="minorHAnsi"/>
          <w:snapToGrid w:val="0"/>
          <w:sz w:val="22"/>
          <w:szCs w:val="22"/>
        </w:rPr>
        <w:t xml:space="preserve">El proponente debe cumplir con la normativa vigente para las entidades vigiladas por la Superintendencia Financiera de Colombia -SFC, que se encuentran específicas en la </w:t>
      </w:r>
      <w:r w:rsidRPr="00A81289">
        <w:rPr>
          <w:rFonts w:asciiTheme="minorHAnsi" w:hAnsiTheme="minorHAnsi" w:cstheme="minorHAnsi"/>
          <w:b/>
          <w:snapToGrid w:val="0"/>
          <w:sz w:val="22"/>
          <w:szCs w:val="22"/>
        </w:rPr>
        <w:t>Circular externa 042 de 2012</w:t>
      </w:r>
      <w:r w:rsidRPr="00A81289">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y sus </w:t>
      </w:r>
      <w:r w:rsidRPr="00A81289">
        <w:rPr>
          <w:rFonts w:asciiTheme="minorHAnsi" w:hAnsiTheme="minorHAnsi" w:cstheme="minorHAnsi"/>
          <w:snapToGrid w:val="0"/>
          <w:sz w:val="22"/>
          <w:szCs w:val="22"/>
        </w:rPr>
        <w:t>modificaciones y demás reglamentación vigente y futura sobre la materia.</w:t>
      </w:r>
      <w:r>
        <w:rPr>
          <w:rFonts w:asciiTheme="minorHAnsi" w:hAnsiTheme="minorHAnsi" w:cstheme="minorHAnsi"/>
          <w:snapToGrid w:val="0"/>
          <w:sz w:val="22"/>
          <w:szCs w:val="22"/>
        </w:rPr>
        <w:t xml:space="preserve"> En especial el proponente deberá cumplir con:</w:t>
      </w:r>
    </w:p>
    <w:p w14:paraId="5FE889B1" w14:textId="77777777" w:rsidR="00150AC2" w:rsidRDefault="00150AC2" w:rsidP="00150AC2">
      <w:pPr>
        <w:pStyle w:val="Prrafodelista"/>
        <w:spacing w:line="276" w:lineRule="auto"/>
        <w:ind w:left="360"/>
        <w:jc w:val="both"/>
        <w:rPr>
          <w:rFonts w:asciiTheme="minorHAnsi" w:hAnsiTheme="minorHAnsi" w:cstheme="minorHAnsi"/>
          <w:snapToGrid w:val="0"/>
          <w:sz w:val="22"/>
          <w:szCs w:val="22"/>
        </w:rPr>
      </w:pPr>
    </w:p>
    <w:p w14:paraId="76F734F2" w14:textId="77777777" w:rsidR="00150AC2" w:rsidRPr="00A81289" w:rsidRDefault="00150AC2" w:rsidP="00150AC2">
      <w:pPr>
        <w:pStyle w:val="Prrafodelista"/>
        <w:spacing w:line="276" w:lineRule="auto"/>
        <w:ind w:left="360"/>
        <w:jc w:val="both"/>
        <w:rPr>
          <w:rFonts w:asciiTheme="minorHAnsi" w:hAnsiTheme="minorHAnsi" w:cstheme="minorHAnsi"/>
          <w:snapToGrid w:val="0"/>
          <w:sz w:val="22"/>
          <w:szCs w:val="22"/>
        </w:rPr>
      </w:pPr>
    </w:p>
    <w:p w14:paraId="04B72C77" w14:textId="77777777" w:rsidR="00150AC2" w:rsidRPr="00010754" w:rsidRDefault="00150AC2" w:rsidP="00150AC2">
      <w:pPr>
        <w:pStyle w:val="Sinespaciado"/>
        <w:numPr>
          <w:ilvl w:val="0"/>
          <w:numId w:val="3"/>
        </w:numPr>
        <w:jc w:val="both"/>
        <w:rPr>
          <w:rFonts w:asciiTheme="minorHAnsi" w:hAnsiTheme="minorHAnsi"/>
          <w:snapToGrid w:val="0"/>
          <w:lang w:val="es-ES"/>
        </w:rPr>
      </w:pPr>
      <w:r w:rsidRPr="00010754">
        <w:rPr>
          <w:rFonts w:asciiTheme="minorHAnsi" w:hAnsiTheme="minorHAnsi"/>
          <w:b/>
          <w:snapToGrid w:val="0"/>
          <w:lang w:val="es-ES"/>
        </w:rPr>
        <w:t>Numeral 3.1.4 C.E. 042 de 2012:</w:t>
      </w:r>
      <w:r w:rsidRPr="00010754">
        <w:rPr>
          <w:rFonts w:asciiTheme="minorHAnsi" w:hAnsiTheme="minorHAnsi"/>
          <w:snapToGrid w:val="0"/>
          <w:lang w:val="es-ES"/>
        </w:rPr>
        <w:t xml:space="preserve"> Dotar de seguridad la información confidencial de los clientes que se maneja en los equipos y redes de la entidad</w:t>
      </w:r>
      <w:r>
        <w:rPr>
          <w:rFonts w:asciiTheme="minorHAnsi" w:hAnsiTheme="minorHAnsi"/>
          <w:snapToGrid w:val="0"/>
          <w:lang w:val="es-ES"/>
        </w:rPr>
        <w:t>.</w:t>
      </w:r>
    </w:p>
    <w:p w14:paraId="02319126" w14:textId="77777777" w:rsidR="00150AC2" w:rsidRPr="00010754" w:rsidRDefault="00150AC2" w:rsidP="00150AC2">
      <w:pPr>
        <w:pStyle w:val="Sinespaciado"/>
        <w:jc w:val="both"/>
        <w:rPr>
          <w:rFonts w:asciiTheme="minorHAnsi" w:hAnsiTheme="minorHAnsi"/>
          <w:snapToGrid w:val="0"/>
          <w:lang w:val="es-ES"/>
        </w:rPr>
      </w:pPr>
    </w:p>
    <w:p w14:paraId="429A0FF5" w14:textId="77777777" w:rsidR="00150AC2" w:rsidRPr="00010754" w:rsidRDefault="00150AC2" w:rsidP="00150AC2">
      <w:pPr>
        <w:pStyle w:val="Sinespaciado"/>
        <w:ind w:left="709"/>
        <w:jc w:val="both"/>
        <w:rPr>
          <w:rFonts w:asciiTheme="minorHAnsi" w:hAnsiTheme="minorHAnsi"/>
          <w:snapToGrid w:val="0"/>
          <w:lang w:val="es-ES"/>
        </w:rPr>
      </w:pPr>
      <w:r w:rsidRPr="00010754">
        <w:rPr>
          <w:rFonts w:asciiTheme="minorHAnsi" w:hAnsiTheme="minorHAnsi"/>
          <w:snapToGrid w:val="0"/>
          <w:lang w:val="es-ES"/>
        </w:rPr>
        <w:lastRenderedPageBreak/>
        <w:t>El sistema preferiblemente debe permitir marcar la información sensible para facilitar el manejo seguro de la misma de acuer</w:t>
      </w:r>
      <w:r>
        <w:rPr>
          <w:rFonts w:asciiTheme="minorHAnsi" w:hAnsiTheme="minorHAnsi"/>
          <w:snapToGrid w:val="0"/>
          <w:lang w:val="es-ES"/>
        </w:rPr>
        <w:t>do con definiciones del SGSI de cada una de las tres entidades.</w:t>
      </w:r>
    </w:p>
    <w:p w14:paraId="2B6309D7" w14:textId="77777777" w:rsidR="00150AC2" w:rsidRPr="00010754" w:rsidRDefault="00150AC2" w:rsidP="00150AC2">
      <w:pPr>
        <w:pStyle w:val="Sinespaciado"/>
        <w:jc w:val="both"/>
        <w:rPr>
          <w:rFonts w:asciiTheme="minorHAnsi" w:hAnsiTheme="minorHAnsi"/>
          <w:snapToGrid w:val="0"/>
          <w:lang w:val="es-ES"/>
        </w:rPr>
      </w:pPr>
    </w:p>
    <w:p w14:paraId="117D53CD" w14:textId="77777777" w:rsidR="00150AC2" w:rsidRPr="00CD178C" w:rsidRDefault="00150AC2" w:rsidP="00150AC2">
      <w:pPr>
        <w:pStyle w:val="Prrafodelista"/>
        <w:numPr>
          <w:ilvl w:val="0"/>
          <w:numId w:val="3"/>
        </w:numPr>
        <w:jc w:val="both"/>
        <w:rPr>
          <w:rFonts w:asciiTheme="minorHAnsi" w:eastAsia="Calibri" w:hAnsiTheme="minorHAnsi"/>
          <w:snapToGrid w:val="0"/>
          <w:sz w:val="22"/>
          <w:szCs w:val="22"/>
          <w:lang w:eastAsia="en-US"/>
        </w:rPr>
      </w:pPr>
      <w:r w:rsidRPr="00CD178C">
        <w:rPr>
          <w:rFonts w:asciiTheme="minorHAnsi" w:eastAsia="Calibri" w:hAnsiTheme="minorHAnsi"/>
          <w:b/>
          <w:snapToGrid w:val="0"/>
          <w:sz w:val="22"/>
          <w:szCs w:val="22"/>
          <w:lang w:eastAsia="en-US"/>
        </w:rPr>
        <w:t xml:space="preserve">Numeral 3.1.12 C.E. 042 de 2012: </w:t>
      </w:r>
      <w:r w:rsidRPr="00CD178C">
        <w:rPr>
          <w:rFonts w:asciiTheme="minorHAnsi" w:eastAsia="Calibri" w:hAnsiTheme="minorHAnsi"/>
          <w:snapToGrid w:val="0"/>
          <w:sz w:val="22"/>
          <w:szCs w:val="22"/>
          <w:lang w:eastAsia="en-US"/>
        </w:rPr>
        <w:t>Establecer procedimientos para el bloqueo de canales o de instrumentos para la realización de operaciones, cuando existan situaciones o hechos que lo ameriten o después de un número de intentos de accesos fallidos por parte de un cliente, así como las medidas operativas y de seguridad para la reactivación de los mismos</w:t>
      </w:r>
    </w:p>
    <w:p w14:paraId="10049905" w14:textId="77777777" w:rsidR="00150AC2" w:rsidRPr="00F6505A" w:rsidRDefault="00150AC2" w:rsidP="00150AC2">
      <w:pPr>
        <w:ind w:left="34"/>
        <w:jc w:val="both"/>
        <w:rPr>
          <w:rFonts w:asciiTheme="minorHAnsi" w:hAnsiTheme="minorHAnsi" w:cs="Arial"/>
          <w:sz w:val="22"/>
          <w:szCs w:val="22"/>
        </w:rPr>
      </w:pPr>
    </w:p>
    <w:p w14:paraId="1B6F1B7A" w14:textId="77777777" w:rsidR="00150AC2" w:rsidRPr="00CD178C" w:rsidRDefault="00150AC2" w:rsidP="00150AC2">
      <w:pPr>
        <w:pStyle w:val="Prrafodelista"/>
        <w:numPr>
          <w:ilvl w:val="0"/>
          <w:numId w:val="3"/>
        </w:numPr>
        <w:jc w:val="both"/>
        <w:rPr>
          <w:rFonts w:asciiTheme="minorHAnsi" w:eastAsia="Calibri" w:hAnsiTheme="minorHAnsi"/>
          <w:snapToGrid w:val="0"/>
          <w:sz w:val="22"/>
          <w:szCs w:val="22"/>
          <w:lang w:eastAsia="en-US"/>
        </w:rPr>
      </w:pPr>
      <w:r w:rsidRPr="00CD178C">
        <w:rPr>
          <w:rFonts w:asciiTheme="minorHAnsi" w:eastAsia="Calibri" w:hAnsiTheme="minorHAnsi"/>
          <w:b/>
          <w:snapToGrid w:val="0"/>
          <w:sz w:val="22"/>
          <w:szCs w:val="22"/>
          <w:lang w:eastAsia="en-US"/>
        </w:rPr>
        <w:t xml:space="preserve">Numeral 3.1.13 C.E. 042 de 2012: </w:t>
      </w:r>
      <w:r w:rsidRPr="00CD178C">
        <w:rPr>
          <w:rFonts w:asciiTheme="minorHAnsi" w:eastAsia="Calibri" w:hAnsiTheme="minorHAnsi"/>
          <w:snapToGrid w:val="0"/>
          <w:sz w:val="22"/>
          <w:szCs w:val="22"/>
          <w:lang w:eastAsia="en-US"/>
        </w:rPr>
        <w:t>Elaborar el perfil de las costumbres transaccionales de cada uno de sus clientes</w:t>
      </w:r>
    </w:p>
    <w:p w14:paraId="107DD5D0" w14:textId="77777777" w:rsidR="00150AC2" w:rsidRPr="00010754" w:rsidRDefault="00150AC2" w:rsidP="00150AC2">
      <w:pPr>
        <w:pStyle w:val="Prrafodelista"/>
        <w:ind w:left="743"/>
        <w:contextualSpacing/>
        <w:jc w:val="both"/>
        <w:rPr>
          <w:rFonts w:asciiTheme="minorHAnsi" w:eastAsia="Calibri" w:hAnsiTheme="minorHAnsi"/>
          <w:snapToGrid w:val="0"/>
          <w:sz w:val="22"/>
          <w:szCs w:val="22"/>
          <w:lang w:eastAsia="en-US"/>
        </w:rPr>
      </w:pPr>
    </w:p>
    <w:p w14:paraId="468052C5" w14:textId="77777777" w:rsidR="00150AC2" w:rsidRPr="00010754" w:rsidRDefault="00150AC2" w:rsidP="00150AC2">
      <w:pPr>
        <w:ind w:left="34"/>
        <w:jc w:val="both"/>
        <w:rPr>
          <w:rFonts w:asciiTheme="minorHAnsi" w:hAnsiTheme="minorHAnsi" w:cs="Arial"/>
          <w:sz w:val="22"/>
          <w:szCs w:val="22"/>
          <w:highlight w:val="cyan"/>
          <w:lang w:val="es-CO"/>
        </w:rPr>
      </w:pPr>
    </w:p>
    <w:p w14:paraId="43F430F9" w14:textId="77777777" w:rsidR="00150AC2" w:rsidRPr="00010754" w:rsidRDefault="00150AC2" w:rsidP="00150AC2">
      <w:pPr>
        <w:pStyle w:val="Sinespaciado"/>
        <w:numPr>
          <w:ilvl w:val="0"/>
          <w:numId w:val="3"/>
        </w:numPr>
        <w:jc w:val="both"/>
        <w:rPr>
          <w:rFonts w:asciiTheme="minorHAnsi" w:hAnsiTheme="minorHAnsi"/>
          <w:snapToGrid w:val="0"/>
          <w:lang w:val="es-ES"/>
        </w:rPr>
      </w:pPr>
      <w:r w:rsidRPr="00010754">
        <w:rPr>
          <w:rFonts w:asciiTheme="minorHAnsi" w:hAnsiTheme="minorHAnsi"/>
          <w:b/>
          <w:snapToGrid w:val="0"/>
          <w:lang w:val="es-ES"/>
        </w:rPr>
        <w:t xml:space="preserve">Numeral 3.1.17 C.E. 042 de 2012: </w:t>
      </w:r>
      <w:r w:rsidRPr="00010754">
        <w:rPr>
          <w:rFonts w:asciiTheme="minorHAnsi" w:hAnsiTheme="minorHAnsi"/>
          <w:snapToGrid w:val="0"/>
          <w:lang w:val="es-ES"/>
        </w:rPr>
        <w:t>Tener en operación sólo los protocolos, servicios, aplicaciones, usuarios, equipos, entre otros, necesarios para</w:t>
      </w:r>
      <w:r>
        <w:rPr>
          <w:rFonts w:asciiTheme="minorHAnsi" w:hAnsiTheme="minorHAnsi"/>
          <w:snapToGrid w:val="0"/>
          <w:lang w:val="es-ES"/>
        </w:rPr>
        <w:t xml:space="preserve"> el desarrollo de su actividad.</w:t>
      </w:r>
    </w:p>
    <w:p w14:paraId="0A079F65" w14:textId="77777777" w:rsidR="00150AC2" w:rsidRPr="00010754" w:rsidRDefault="00150AC2" w:rsidP="00150AC2">
      <w:pPr>
        <w:pStyle w:val="Sinespaciado"/>
        <w:ind w:left="1440"/>
        <w:jc w:val="both"/>
        <w:rPr>
          <w:rFonts w:asciiTheme="minorHAnsi" w:hAnsiTheme="minorHAnsi"/>
          <w:b/>
          <w:snapToGrid w:val="0"/>
          <w:lang w:val="es-ES"/>
        </w:rPr>
      </w:pPr>
    </w:p>
    <w:p w14:paraId="617A9E7C" w14:textId="77777777" w:rsidR="00150AC2" w:rsidRPr="00010754" w:rsidRDefault="00150AC2" w:rsidP="00150AC2">
      <w:pPr>
        <w:pStyle w:val="Sinespaciado"/>
        <w:ind w:left="709"/>
        <w:jc w:val="both"/>
        <w:rPr>
          <w:rFonts w:asciiTheme="minorHAnsi" w:hAnsiTheme="minorHAnsi"/>
          <w:snapToGrid w:val="0"/>
          <w:lang w:val="es-ES"/>
        </w:rPr>
      </w:pPr>
      <w:r w:rsidRPr="00010754">
        <w:rPr>
          <w:rFonts w:asciiTheme="minorHAnsi" w:hAnsiTheme="minorHAnsi"/>
          <w:snapToGrid w:val="0"/>
          <w:lang w:val="es-ES"/>
        </w:rPr>
        <w:t xml:space="preserve">La solución debe permitir el bloqueo de opciones que no sean necesarias. De igual forma deberían poderse </w:t>
      </w:r>
      <w:r>
        <w:rPr>
          <w:rFonts w:asciiTheme="minorHAnsi" w:hAnsiTheme="minorHAnsi"/>
          <w:snapToGrid w:val="0"/>
          <w:lang w:val="es-ES"/>
        </w:rPr>
        <w:t>activar cuando así se requiera.</w:t>
      </w:r>
    </w:p>
    <w:p w14:paraId="381EEF1D" w14:textId="77777777" w:rsidR="00150AC2" w:rsidRPr="00010754" w:rsidRDefault="00150AC2" w:rsidP="00150AC2">
      <w:pPr>
        <w:pStyle w:val="Prrafodelista"/>
        <w:ind w:left="34"/>
        <w:contextualSpacing/>
        <w:jc w:val="both"/>
        <w:rPr>
          <w:rFonts w:asciiTheme="minorHAnsi" w:hAnsiTheme="minorHAnsi" w:cs="Arial"/>
          <w:sz w:val="22"/>
          <w:szCs w:val="22"/>
          <w:highlight w:val="cyan"/>
          <w:lang w:val="es-CO"/>
        </w:rPr>
      </w:pPr>
    </w:p>
    <w:p w14:paraId="15C7ECE0" w14:textId="77777777" w:rsidR="00150AC2" w:rsidRPr="00010754" w:rsidRDefault="00150AC2" w:rsidP="00150AC2">
      <w:pPr>
        <w:pStyle w:val="Sinespaciado"/>
        <w:numPr>
          <w:ilvl w:val="0"/>
          <w:numId w:val="5"/>
        </w:numPr>
        <w:jc w:val="both"/>
        <w:rPr>
          <w:rFonts w:asciiTheme="minorHAnsi" w:hAnsiTheme="minorHAnsi"/>
          <w:b/>
          <w:snapToGrid w:val="0"/>
          <w:lang w:val="es-ES"/>
        </w:rPr>
      </w:pPr>
      <w:r w:rsidRPr="00010754">
        <w:rPr>
          <w:rFonts w:asciiTheme="minorHAnsi" w:hAnsiTheme="minorHAnsi"/>
          <w:b/>
          <w:snapToGrid w:val="0"/>
          <w:lang w:val="es-ES"/>
        </w:rPr>
        <w:t xml:space="preserve">Numeral 3.2.3 C.E. 042 de 2012: </w:t>
      </w:r>
      <w:r w:rsidRPr="00010754">
        <w:rPr>
          <w:rFonts w:asciiTheme="minorHAnsi" w:hAnsiTheme="minorHAnsi"/>
          <w:snapToGrid w:val="0"/>
          <w:lang w:val="es-ES"/>
        </w:rPr>
        <w:t xml:space="preserve">Exigir que los terceros contratados </w:t>
      </w:r>
      <w:r w:rsidRPr="004265AA">
        <w:rPr>
          <w:rFonts w:asciiTheme="minorHAnsi" w:hAnsiTheme="minorHAnsi"/>
          <w:snapToGrid w:val="0"/>
          <w:lang w:val="es-ES"/>
        </w:rPr>
        <w:t>dispong</w:t>
      </w:r>
      <w:r w:rsidRPr="00963804">
        <w:rPr>
          <w:rFonts w:asciiTheme="minorHAnsi" w:hAnsiTheme="minorHAnsi"/>
          <w:snapToGrid w:val="0"/>
        </w:rPr>
        <w:t>an de planes de contingencia y continuidad debidamente</w:t>
      </w:r>
      <w:r w:rsidRPr="004265AA">
        <w:rPr>
          <w:rFonts w:asciiTheme="minorHAnsi" w:hAnsiTheme="minorHAnsi"/>
          <w:snapToGrid w:val="0"/>
          <w:lang w:val="es-ES"/>
        </w:rPr>
        <w:t xml:space="preserve"> </w:t>
      </w:r>
      <w:r w:rsidRPr="00010754">
        <w:rPr>
          <w:rFonts w:asciiTheme="minorHAnsi" w:hAnsiTheme="minorHAnsi"/>
          <w:snapToGrid w:val="0"/>
          <w:lang w:val="es-ES"/>
        </w:rPr>
        <w:t>documentados. Las entidades deberán verificar que los planes, en lo que corresponde a los servicios convenidos, funcionen en las condiciones pact</w:t>
      </w:r>
      <w:r>
        <w:rPr>
          <w:rFonts w:asciiTheme="minorHAnsi" w:hAnsiTheme="minorHAnsi"/>
          <w:snapToGrid w:val="0"/>
          <w:lang w:val="es-ES"/>
        </w:rPr>
        <w:t>adas</w:t>
      </w:r>
    </w:p>
    <w:p w14:paraId="31D70FD6" w14:textId="77777777" w:rsidR="00150AC2" w:rsidRPr="00010754" w:rsidRDefault="00150AC2" w:rsidP="00150AC2">
      <w:pPr>
        <w:pStyle w:val="Sinespaciado"/>
        <w:ind w:left="1418"/>
        <w:jc w:val="both"/>
        <w:rPr>
          <w:rFonts w:asciiTheme="minorHAnsi" w:hAnsiTheme="minorHAnsi"/>
          <w:snapToGrid w:val="0"/>
          <w:lang w:val="es-ES"/>
        </w:rPr>
      </w:pPr>
    </w:p>
    <w:p w14:paraId="22876301" w14:textId="77777777" w:rsidR="00150AC2" w:rsidRPr="00CD178C" w:rsidRDefault="00150AC2" w:rsidP="00150AC2">
      <w:pPr>
        <w:pStyle w:val="Sinespaciado"/>
        <w:ind w:left="720"/>
        <w:jc w:val="both"/>
        <w:rPr>
          <w:rFonts w:asciiTheme="minorHAnsi" w:hAnsiTheme="minorHAnsi"/>
          <w:snapToGrid w:val="0"/>
          <w:lang w:val="es-ES"/>
        </w:rPr>
      </w:pPr>
      <w:r w:rsidRPr="00CD178C">
        <w:rPr>
          <w:rFonts w:asciiTheme="minorHAnsi" w:hAnsiTheme="minorHAnsi"/>
          <w:snapToGrid w:val="0"/>
          <w:lang w:val="es-ES"/>
        </w:rPr>
        <w:t xml:space="preserve">La disponibilidad del sistema debe atender los requerimientos que en tal sentido haga </w:t>
      </w:r>
      <w:r w:rsidRPr="00CD178C">
        <w:rPr>
          <w:rFonts w:asciiTheme="minorHAnsi" w:hAnsiTheme="minorHAnsi" w:cstheme="minorHAnsi"/>
          <w:lang w:val="es-ES"/>
        </w:rPr>
        <w:t xml:space="preserve">Bancóldex </w:t>
      </w:r>
      <w:r w:rsidRPr="00CD178C">
        <w:rPr>
          <w:rFonts w:asciiTheme="minorHAnsi" w:hAnsiTheme="minorHAnsi"/>
          <w:snapToGrid w:val="0"/>
          <w:lang w:val="es-ES"/>
        </w:rPr>
        <w:t>y contar con planes de contingencia probados, actualizados, documentados</w:t>
      </w:r>
      <w:r w:rsidRPr="00CD178C">
        <w:rPr>
          <w:rFonts w:asciiTheme="minorHAnsi" w:hAnsiTheme="minorHAnsi" w:cstheme="minorHAnsi"/>
        </w:rPr>
        <w:t xml:space="preserve"> y certificados por lo menos una (1) vez por año</w:t>
      </w:r>
      <w:r w:rsidRPr="00CD178C">
        <w:rPr>
          <w:rFonts w:asciiTheme="minorHAnsi" w:hAnsiTheme="minorHAnsi"/>
          <w:snapToGrid w:val="0"/>
          <w:lang w:val="es-ES"/>
        </w:rPr>
        <w:t xml:space="preserve">.  </w:t>
      </w:r>
      <w:r w:rsidRPr="00CD178C">
        <w:rPr>
          <w:rFonts w:asciiTheme="minorHAnsi" w:hAnsiTheme="minorHAnsi" w:cstheme="minorHAnsi"/>
          <w:lang w:val="es-ES"/>
        </w:rPr>
        <w:t xml:space="preserve">Bancóldex </w:t>
      </w:r>
      <w:r w:rsidRPr="00CD178C">
        <w:rPr>
          <w:rFonts w:asciiTheme="minorHAnsi" w:hAnsiTheme="minorHAnsi"/>
          <w:snapToGrid w:val="0"/>
          <w:lang w:val="es-ES"/>
        </w:rPr>
        <w:t>podrá participar en los ejercicios de pruebas cuando así lo decida</w:t>
      </w:r>
      <w:r>
        <w:rPr>
          <w:rFonts w:asciiTheme="minorHAnsi" w:hAnsiTheme="minorHAnsi"/>
          <w:snapToGrid w:val="0"/>
          <w:lang w:val="es-ES"/>
        </w:rPr>
        <w:t>.</w:t>
      </w:r>
    </w:p>
    <w:p w14:paraId="3EEDE42C" w14:textId="77777777" w:rsidR="00150AC2" w:rsidRDefault="00150AC2" w:rsidP="00150AC2">
      <w:pPr>
        <w:pStyle w:val="Sinespaciado"/>
        <w:ind w:left="1418"/>
        <w:jc w:val="both"/>
        <w:rPr>
          <w:rFonts w:asciiTheme="minorHAnsi" w:hAnsiTheme="minorHAnsi"/>
          <w:snapToGrid w:val="0"/>
          <w:lang w:val="es-ES"/>
        </w:rPr>
      </w:pPr>
    </w:p>
    <w:p w14:paraId="47573869" w14:textId="77777777" w:rsidR="00150AC2" w:rsidRPr="00010754" w:rsidRDefault="00150AC2" w:rsidP="00150AC2">
      <w:pPr>
        <w:pStyle w:val="Sinespaciado"/>
        <w:ind w:left="709"/>
        <w:jc w:val="both"/>
        <w:rPr>
          <w:rFonts w:asciiTheme="minorHAnsi" w:hAnsiTheme="minorHAnsi"/>
          <w:snapToGrid w:val="0"/>
          <w:lang w:val="es-ES"/>
        </w:rPr>
      </w:pPr>
      <w:r w:rsidRPr="00010754">
        <w:rPr>
          <w:rFonts w:asciiTheme="minorHAnsi" w:hAnsiTheme="minorHAnsi"/>
          <w:snapToGrid w:val="0"/>
          <w:lang w:val="es-ES"/>
        </w:rPr>
        <w:t>Los planes de contingencia de la solución deben estar sincronizados con otros terceros que participen en la misma y además deben</w:t>
      </w:r>
      <w:r>
        <w:rPr>
          <w:rFonts w:asciiTheme="minorHAnsi" w:hAnsiTheme="minorHAnsi"/>
          <w:snapToGrid w:val="0"/>
          <w:lang w:val="es-ES"/>
        </w:rPr>
        <w:t xml:space="preserve"> ser de conocimiento del Banco.</w:t>
      </w:r>
    </w:p>
    <w:p w14:paraId="781BF878" w14:textId="77777777" w:rsidR="00150AC2" w:rsidRPr="00010754" w:rsidRDefault="00150AC2" w:rsidP="00150AC2">
      <w:pPr>
        <w:pStyle w:val="Sinespaciado"/>
        <w:ind w:left="1418"/>
        <w:jc w:val="both"/>
        <w:rPr>
          <w:rFonts w:asciiTheme="minorHAnsi" w:hAnsiTheme="minorHAnsi"/>
          <w:snapToGrid w:val="0"/>
          <w:lang w:val="es-ES"/>
        </w:rPr>
      </w:pPr>
    </w:p>
    <w:p w14:paraId="64181C1C" w14:textId="77777777" w:rsidR="00150AC2" w:rsidRPr="00010754" w:rsidRDefault="00150AC2" w:rsidP="00150AC2">
      <w:pPr>
        <w:pStyle w:val="Sinespaciado"/>
        <w:numPr>
          <w:ilvl w:val="0"/>
          <w:numId w:val="5"/>
        </w:numPr>
        <w:jc w:val="both"/>
        <w:rPr>
          <w:rFonts w:asciiTheme="minorHAnsi" w:hAnsiTheme="minorHAnsi"/>
          <w:b/>
          <w:snapToGrid w:val="0"/>
          <w:lang w:val="es-ES"/>
        </w:rPr>
      </w:pPr>
      <w:r w:rsidRPr="00010754">
        <w:rPr>
          <w:rFonts w:asciiTheme="minorHAnsi" w:hAnsiTheme="minorHAnsi"/>
          <w:b/>
          <w:snapToGrid w:val="0"/>
          <w:lang w:val="es-ES"/>
        </w:rPr>
        <w:t xml:space="preserve">Numeral 3.2.5 C.E. 042 de 2012: </w:t>
      </w:r>
      <w:r w:rsidRPr="00010754">
        <w:rPr>
          <w:rFonts w:asciiTheme="minorHAnsi" w:hAnsiTheme="minorHAnsi"/>
          <w:snapToGrid w:val="0"/>
          <w:lang w:val="es-ES"/>
        </w:rPr>
        <w:t>Implementar mecanismos de cifrado fuerte para el envío y recepción de información confidenci</w:t>
      </w:r>
      <w:r>
        <w:rPr>
          <w:rFonts w:asciiTheme="minorHAnsi" w:hAnsiTheme="minorHAnsi"/>
          <w:snapToGrid w:val="0"/>
          <w:lang w:val="es-ES"/>
        </w:rPr>
        <w:t>al con los terceros contratados.</w:t>
      </w:r>
    </w:p>
    <w:p w14:paraId="0BFB5C94" w14:textId="77777777" w:rsidR="00150AC2" w:rsidRPr="00010754" w:rsidRDefault="00150AC2" w:rsidP="00150AC2">
      <w:pPr>
        <w:pStyle w:val="Sinespaciado"/>
        <w:ind w:left="1440"/>
        <w:jc w:val="both"/>
        <w:rPr>
          <w:rFonts w:asciiTheme="minorHAnsi" w:hAnsiTheme="minorHAnsi"/>
          <w:snapToGrid w:val="0"/>
          <w:lang w:val="es-ES"/>
        </w:rPr>
      </w:pPr>
    </w:p>
    <w:p w14:paraId="451B5DA7" w14:textId="77777777" w:rsidR="00150AC2" w:rsidRPr="006A5BF5" w:rsidRDefault="00150AC2" w:rsidP="00150AC2">
      <w:pPr>
        <w:pStyle w:val="Sinespaciado"/>
        <w:numPr>
          <w:ilvl w:val="0"/>
          <w:numId w:val="5"/>
        </w:numPr>
        <w:jc w:val="both"/>
        <w:rPr>
          <w:rFonts w:asciiTheme="minorHAnsi" w:hAnsiTheme="minorHAnsi"/>
          <w:b/>
          <w:snapToGrid w:val="0"/>
          <w:lang w:val="es-ES"/>
        </w:rPr>
      </w:pPr>
      <w:r w:rsidRPr="006A5BF5">
        <w:rPr>
          <w:rFonts w:asciiTheme="minorHAnsi" w:hAnsiTheme="minorHAnsi"/>
          <w:b/>
          <w:snapToGrid w:val="0"/>
          <w:lang w:val="es-ES"/>
        </w:rPr>
        <w:t xml:space="preserve">Numeral 3.3.6 C.E. 042 de 2012: </w:t>
      </w:r>
      <w:r w:rsidRPr="006A5BF5">
        <w:rPr>
          <w:rFonts w:asciiTheme="minorHAnsi" w:hAnsiTheme="minorHAnsi"/>
          <w:snapToGrid w:val="0"/>
          <w:lang w:val="es-ES"/>
        </w:rPr>
        <w:t>Llevar un registro de las consultas realizadas por los funcionarios de la entidad sobre la información confidencial de los clientes, que contenga al menos lo siguiente: identificación del funcionario que realizó la consulta, canal utilizado, identificación del equipo, fecha y hora. En desarrollo de lo anterior, se deberán establecer mecanismos que restrinjan el acceso a dicha información, para que solo pueda ser usada por el personal que lo requiera en función de su trabajo.</w:t>
      </w:r>
    </w:p>
    <w:p w14:paraId="45E498DF" w14:textId="77777777" w:rsidR="00150AC2" w:rsidRPr="00010754" w:rsidRDefault="00150AC2" w:rsidP="00150AC2">
      <w:pPr>
        <w:pStyle w:val="Sinespaciado"/>
        <w:ind w:left="1440"/>
        <w:jc w:val="both"/>
        <w:rPr>
          <w:rFonts w:asciiTheme="minorHAnsi" w:hAnsiTheme="minorHAnsi"/>
          <w:snapToGrid w:val="0"/>
          <w:lang w:val="es-ES"/>
        </w:rPr>
      </w:pPr>
    </w:p>
    <w:p w14:paraId="6DC98E9B" w14:textId="77777777" w:rsidR="00150AC2" w:rsidRPr="00010754" w:rsidRDefault="00150AC2" w:rsidP="00150AC2">
      <w:pPr>
        <w:pStyle w:val="Sinespaciado"/>
        <w:ind w:left="709"/>
        <w:jc w:val="both"/>
        <w:rPr>
          <w:rFonts w:asciiTheme="minorHAnsi" w:hAnsiTheme="minorHAnsi"/>
          <w:snapToGrid w:val="0"/>
          <w:lang w:val="es-ES"/>
        </w:rPr>
      </w:pPr>
      <w:r w:rsidRPr="00010754">
        <w:rPr>
          <w:rFonts w:asciiTheme="minorHAnsi" w:hAnsiTheme="minorHAnsi"/>
          <w:snapToGrid w:val="0"/>
          <w:lang w:val="es-ES"/>
        </w:rPr>
        <w:t>El sistema debe generar logs a que se refiere la norma, los cuales deben ser de fácil lectura</w:t>
      </w:r>
      <w:r>
        <w:rPr>
          <w:rFonts w:asciiTheme="minorHAnsi" w:hAnsiTheme="minorHAnsi"/>
          <w:snapToGrid w:val="0"/>
          <w:lang w:val="es-ES"/>
        </w:rPr>
        <w:t xml:space="preserve"> y deben poder exportarse a archivos Excel</w:t>
      </w:r>
      <w:r w:rsidRPr="00010754">
        <w:rPr>
          <w:rFonts w:asciiTheme="minorHAnsi" w:hAnsiTheme="minorHAnsi"/>
          <w:snapToGrid w:val="0"/>
          <w:lang w:val="es-ES"/>
        </w:rPr>
        <w:t>. Este requerimiento preferiblemente debe tener alcance a los cambios que se hagan en los registros de información y la dirección IP del responsable del cambio. Preferiblemente el log debe contener la información antes y después del cambio</w:t>
      </w:r>
      <w:r>
        <w:rPr>
          <w:rFonts w:asciiTheme="minorHAnsi" w:hAnsiTheme="minorHAnsi"/>
          <w:snapToGrid w:val="0"/>
          <w:lang w:val="es-ES"/>
        </w:rPr>
        <w:t>.</w:t>
      </w:r>
    </w:p>
    <w:p w14:paraId="6870CA37" w14:textId="77777777" w:rsidR="00150AC2" w:rsidRPr="00DA189A" w:rsidRDefault="00150AC2" w:rsidP="00150AC2">
      <w:pPr>
        <w:pStyle w:val="Prrafodelista"/>
        <w:ind w:left="34"/>
        <w:contextualSpacing/>
        <w:jc w:val="both"/>
        <w:rPr>
          <w:rFonts w:ascii="Arial" w:hAnsi="Arial" w:cs="Arial"/>
          <w:sz w:val="18"/>
          <w:szCs w:val="18"/>
          <w:highlight w:val="cyan"/>
          <w:lang w:val="es-CO"/>
        </w:rPr>
      </w:pPr>
    </w:p>
    <w:p w14:paraId="4A0A8E33" w14:textId="77777777" w:rsidR="00150AC2" w:rsidRPr="00DA189A" w:rsidRDefault="00150AC2" w:rsidP="00150AC2">
      <w:pPr>
        <w:ind w:left="709"/>
        <w:jc w:val="both"/>
        <w:rPr>
          <w:rFonts w:ascii="Arial" w:hAnsi="Arial" w:cs="Arial"/>
          <w:sz w:val="18"/>
          <w:szCs w:val="18"/>
          <w:highlight w:val="cyan"/>
          <w:lang w:val="es-CO"/>
        </w:rPr>
      </w:pPr>
    </w:p>
    <w:p w14:paraId="11FE1BCA" w14:textId="77777777" w:rsidR="00150AC2" w:rsidRPr="00010754" w:rsidRDefault="00150AC2" w:rsidP="00150AC2">
      <w:pPr>
        <w:pStyle w:val="Sinespaciado"/>
        <w:numPr>
          <w:ilvl w:val="0"/>
          <w:numId w:val="6"/>
        </w:numPr>
        <w:jc w:val="both"/>
        <w:rPr>
          <w:rFonts w:asciiTheme="minorHAnsi" w:hAnsiTheme="minorHAnsi"/>
          <w:b/>
          <w:snapToGrid w:val="0"/>
          <w:lang w:val="es-ES"/>
        </w:rPr>
      </w:pPr>
      <w:r w:rsidRPr="00010754">
        <w:rPr>
          <w:rFonts w:asciiTheme="minorHAnsi" w:hAnsiTheme="minorHAnsi"/>
          <w:b/>
          <w:snapToGrid w:val="0"/>
          <w:lang w:val="es-ES"/>
        </w:rPr>
        <w:t>Numeral 4.9 C.E. 042 de 2012</w:t>
      </w:r>
      <w:r>
        <w:rPr>
          <w:rFonts w:asciiTheme="minorHAnsi" w:hAnsiTheme="minorHAnsi"/>
          <w:b/>
          <w:snapToGrid w:val="0"/>
          <w:lang w:val="es-ES"/>
        </w:rPr>
        <w:t xml:space="preserve">: </w:t>
      </w:r>
      <w:r w:rsidRPr="00373394">
        <w:rPr>
          <w:rFonts w:asciiTheme="minorHAnsi" w:hAnsiTheme="minorHAnsi"/>
          <w:snapToGrid w:val="0"/>
          <w:lang w:val="es-ES"/>
        </w:rPr>
        <w:t>Dado que la solución debe poder ser accedida por los funcionarios que autorice</w:t>
      </w:r>
      <w:r>
        <w:rPr>
          <w:rFonts w:asciiTheme="minorHAnsi" w:hAnsiTheme="minorHAnsi"/>
          <w:snapToGrid w:val="0"/>
          <w:lang w:val="es-ES"/>
        </w:rPr>
        <w:t xml:space="preserve"> </w:t>
      </w:r>
      <w:r w:rsidRPr="00DC47EC">
        <w:rPr>
          <w:rFonts w:asciiTheme="minorHAnsi" w:hAnsiTheme="minorHAnsi" w:cstheme="minorHAnsi"/>
          <w:lang w:val="es-ES"/>
        </w:rPr>
        <w:t xml:space="preserve">Bancóldex </w:t>
      </w:r>
      <w:r w:rsidRPr="00373394">
        <w:rPr>
          <w:rFonts w:asciiTheme="minorHAnsi" w:hAnsiTheme="minorHAnsi"/>
          <w:snapToGrid w:val="0"/>
          <w:lang w:val="es-ES"/>
        </w:rPr>
        <w:t>usando el canal de Internet, se solicita al proveedor el cumplimiento de los siguientes numerales a que se refiere la norma específicamente para ese canal:</w:t>
      </w:r>
      <w:r w:rsidRPr="00010754">
        <w:rPr>
          <w:rFonts w:asciiTheme="minorHAnsi" w:hAnsiTheme="minorHAnsi"/>
          <w:b/>
          <w:snapToGrid w:val="0"/>
          <w:lang w:val="es-ES"/>
        </w:rPr>
        <w:t xml:space="preserve"> </w:t>
      </w:r>
    </w:p>
    <w:p w14:paraId="5C7CBF04" w14:textId="77777777" w:rsidR="00150AC2" w:rsidRPr="00DA189A" w:rsidRDefault="00150AC2" w:rsidP="00150AC2">
      <w:pPr>
        <w:ind w:left="709"/>
        <w:jc w:val="both"/>
        <w:rPr>
          <w:rFonts w:ascii="Arial" w:hAnsi="Arial" w:cs="Arial"/>
          <w:sz w:val="18"/>
          <w:szCs w:val="18"/>
          <w:highlight w:val="cyan"/>
        </w:rPr>
      </w:pPr>
    </w:p>
    <w:p w14:paraId="38B8E3DB" w14:textId="77777777" w:rsidR="00150AC2" w:rsidRPr="006A5BF5" w:rsidRDefault="00150AC2" w:rsidP="00150AC2">
      <w:pPr>
        <w:pStyle w:val="Prrafodelista"/>
        <w:numPr>
          <w:ilvl w:val="0"/>
          <w:numId w:val="13"/>
        </w:numPr>
        <w:jc w:val="both"/>
        <w:rPr>
          <w:rFonts w:asciiTheme="minorHAnsi" w:hAnsiTheme="minorHAnsi" w:cs="Arial"/>
          <w:sz w:val="22"/>
          <w:szCs w:val="22"/>
        </w:rPr>
      </w:pPr>
      <w:r w:rsidRPr="006A5BF5">
        <w:rPr>
          <w:rFonts w:asciiTheme="minorHAnsi" w:hAnsiTheme="minorHAnsi" w:cs="Arial"/>
          <w:b/>
          <w:sz w:val="22"/>
          <w:szCs w:val="22"/>
          <w:lang w:val="es-CO"/>
        </w:rPr>
        <w:t>Numeral 4.9.1 C.E. 042 de 2012</w:t>
      </w:r>
      <w:r w:rsidRPr="006A5BF5">
        <w:rPr>
          <w:rFonts w:asciiTheme="minorHAnsi" w:hAnsiTheme="minorHAnsi" w:cs="Arial"/>
          <w:b/>
          <w:sz w:val="22"/>
          <w:szCs w:val="22"/>
        </w:rPr>
        <w:t>:</w:t>
      </w:r>
      <w:r w:rsidRPr="006A5BF5">
        <w:rPr>
          <w:rFonts w:asciiTheme="minorHAnsi" w:hAnsiTheme="minorHAnsi" w:cs="Arial"/>
          <w:sz w:val="22"/>
          <w:szCs w:val="22"/>
        </w:rPr>
        <w:t xml:space="preserve"> </w:t>
      </w:r>
      <w:r w:rsidRPr="006A5BF5">
        <w:rPr>
          <w:rFonts w:asciiTheme="minorHAnsi" w:hAnsiTheme="minorHAnsi" w:cs="Arial"/>
          <w:sz w:val="22"/>
          <w:szCs w:val="22"/>
          <w:lang w:val="es-CO"/>
        </w:rPr>
        <w:t>Implementar los algoritmos y protocolos necesarios para brindar una comunicación segura.</w:t>
      </w:r>
    </w:p>
    <w:p w14:paraId="280A1583" w14:textId="77777777" w:rsidR="00150AC2" w:rsidRPr="006A5BF5" w:rsidRDefault="00150AC2" w:rsidP="00150AC2">
      <w:pPr>
        <w:pStyle w:val="Prrafodelista"/>
        <w:numPr>
          <w:ilvl w:val="0"/>
          <w:numId w:val="13"/>
        </w:numPr>
        <w:jc w:val="both"/>
        <w:rPr>
          <w:rFonts w:asciiTheme="minorHAnsi" w:hAnsiTheme="minorHAnsi" w:cs="Arial"/>
          <w:sz w:val="22"/>
          <w:szCs w:val="22"/>
          <w:lang w:val="es-CO"/>
        </w:rPr>
      </w:pPr>
      <w:r w:rsidRPr="006A5BF5">
        <w:rPr>
          <w:rFonts w:asciiTheme="minorHAnsi" w:hAnsiTheme="minorHAnsi" w:cs="Arial"/>
          <w:b/>
          <w:sz w:val="22"/>
          <w:szCs w:val="22"/>
          <w:lang w:val="es-CO"/>
        </w:rPr>
        <w:t>Numeral 4.9.2 C.E. 042 de 2012:</w:t>
      </w:r>
      <w:r w:rsidRPr="006A5BF5">
        <w:rPr>
          <w:rFonts w:asciiTheme="minorHAnsi" w:hAnsiTheme="minorHAnsi" w:cs="Arial"/>
          <w:sz w:val="22"/>
          <w:szCs w:val="22"/>
          <w:lang w:val="es-CO"/>
        </w:rPr>
        <w:t xml:space="preserve"> Realizar como mínimo dos (2) veces al año una prueba de vulnerabilidad y penetración a los equipos, dispositivos y medios de comunicación usados en la realización de operaciones por este canal. Sin embargo, cuando se realicen cambios en la plataforma que afecten la seguridad del canal, deberá realizarse una prueba adicional (si aplica).</w:t>
      </w:r>
    </w:p>
    <w:p w14:paraId="25E80AF9" w14:textId="77777777" w:rsidR="00150AC2" w:rsidRPr="00373394" w:rsidRDefault="00150AC2" w:rsidP="00150AC2">
      <w:pPr>
        <w:pStyle w:val="Prrafodelista"/>
        <w:numPr>
          <w:ilvl w:val="0"/>
          <w:numId w:val="13"/>
        </w:numPr>
        <w:jc w:val="both"/>
        <w:rPr>
          <w:rFonts w:asciiTheme="minorHAnsi" w:hAnsiTheme="minorHAnsi" w:cs="Arial"/>
          <w:sz w:val="22"/>
          <w:szCs w:val="22"/>
          <w:lang w:val="es-CO"/>
        </w:rPr>
      </w:pPr>
      <w:r w:rsidRPr="006A5BF5">
        <w:rPr>
          <w:rFonts w:asciiTheme="minorHAnsi" w:hAnsiTheme="minorHAnsi" w:cs="Arial"/>
          <w:b/>
          <w:sz w:val="22"/>
          <w:szCs w:val="22"/>
          <w:lang w:val="es-CO"/>
        </w:rPr>
        <w:t>Numeral 4.9.3 C.E. 042 de 2012</w:t>
      </w:r>
      <w:r w:rsidRPr="00373394">
        <w:rPr>
          <w:rFonts w:asciiTheme="minorHAnsi" w:hAnsiTheme="minorHAnsi" w:cs="Arial"/>
          <w:b/>
          <w:sz w:val="22"/>
          <w:szCs w:val="22"/>
          <w:lang w:val="es-CO"/>
        </w:rPr>
        <w:t>:</w:t>
      </w:r>
      <w:r w:rsidRPr="00373394">
        <w:rPr>
          <w:rFonts w:asciiTheme="minorHAnsi" w:hAnsiTheme="minorHAnsi" w:cs="Arial"/>
          <w:sz w:val="22"/>
          <w:szCs w:val="22"/>
          <w:lang w:val="es-CO"/>
        </w:rPr>
        <w:t xml:space="preserve"> Promover y poner a disposición mecanismos que reduzcan la posibilidad de que la información pueda ser captu</w:t>
      </w:r>
      <w:r>
        <w:rPr>
          <w:rFonts w:asciiTheme="minorHAnsi" w:hAnsiTheme="minorHAnsi" w:cs="Arial"/>
          <w:sz w:val="22"/>
          <w:szCs w:val="22"/>
          <w:lang w:val="es-CO"/>
        </w:rPr>
        <w:t>rada por personal no autorizado.</w:t>
      </w:r>
    </w:p>
    <w:p w14:paraId="51F9B7C4" w14:textId="77777777" w:rsidR="00150AC2" w:rsidRPr="00373394" w:rsidRDefault="00150AC2" w:rsidP="00150AC2">
      <w:pPr>
        <w:pStyle w:val="Prrafodelista"/>
        <w:numPr>
          <w:ilvl w:val="0"/>
          <w:numId w:val="13"/>
        </w:numPr>
        <w:jc w:val="both"/>
        <w:rPr>
          <w:rFonts w:asciiTheme="minorHAnsi" w:hAnsiTheme="minorHAnsi" w:cs="Arial"/>
          <w:sz w:val="22"/>
          <w:szCs w:val="22"/>
          <w:lang w:val="es-CO"/>
        </w:rPr>
      </w:pPr>
      <w:r w:rsidRPr="00373394">
        <w:rPr>
          <w:rFonts w:asciiTheme="minorHAnsi" w:hAnsiTheme="minorHAnsi" w:cs="Arial"/>
          <w:b/>
          <w:sz w:val="22"/>
          <w:szCs w:val="22"/>
          <w:lang w:val="es-CO"/>
        </w:rPr>
        <w:t>Numeral 4.9.4 C.E. 042 de 2012:</w:t>
      </w:r>
      <w:r w:rsidRPr="00373394">
        <w:rPr>
          <w:rFonts w:asciiTheme="minorHAnsi" w:hAnsiTheme="minorHAnsi" w:cs="Arial"/>
          <w:sz w:val="22"/>
          <w:szCs w:val="22"/>
          <w:lang w:val="es-CO"/>
        </w:rPr>
        <w:t xml:space="preserve"> Establecer el tiempo máximo de inactividad, después del cual se deberá dar por cancelada la sesión, exigiendo una n</w:t>
      </w:r>
      <w:r>
        <w:rPr>
          <w:rFonts w:asciiTheme="minorHAnsi" w:hAnsiTheme="minorHAnsi" w:cs="Arial"/>
          <w:sz w:val="22"/>
          <w:szCs w:val="22"/>
          <w:lang w:val="es-CO"/>
        </w:rPr>
        <w:t>ueva conexión.</w:t>
      </w:r>
    </w:p>
    <w:p w14:paraId="740BB4B7" w14:textId="77777777" w:rsidR="00150AC2" w:rsidRPr="00373394" w:rsidRDefault="00150AC2" w:rsidP="00150AC2">
      <w:pPr>
        <w:pStyle w:val="Prrafodelista"/>
        <w:numPr>
          <w:ilvl w:val="0"/>
          <w:numId w:val="13"/>
        </w:numPr>
        <w:jc w:val="both"/>
        <w:rPr>
          <w:rFonts w:asciiTheme="minorHAnsi" w:hAnsiTheme="minorHAnsi" w:cs="Arial"/>
          <w:sz w:val="22"/>
          <w:szCs w:val="22"/>
          <w:lang w:val="es-CO"/>
        </w:rPr>
      </w:pPr>
      <w:r w:rsidRPr="00373394">
        <w:rPr>
          <w:rFonts w:asciiTheme="minorHAnsi" w:hAnsiTheme="minorHAnsi" w:cs="Arial"/>
          <w:b/>
          <w:sz w:val="22"/>
          <w:szCs w:val="22"/>
          <w:lang w:val="es-CO"/>
        </w:rPr>
        <w:t>Numeral 4.9.5 C.E. 042 de 2012:</w:t>
      </w:r>
      <w:r w:rsidRPr="00373394">
        <w:rPr>
          <w:rFonts w:asciiTheme="minorHAnsi" w:hAnsiTheme="minorHAnsi" w:cs="Arial"/>
          <w:sz w:val="22"/>
          <w:szCs w:val="22"/>
          <w:lang w:val="es-CO"/>
        </w:rPr>
        <w:t xml:space="preserve"> Informar al funcionario al inicio de cada sesión, la fecha y ho</w:t>
      </w:r>
      <w:r>
        <w:rPr>
          <w:rFonts w:asciiTheme="minorHAnsi" w:hAnsiTheme="minorHAnsi" w:cs="Arial"/>
          <w:sz w:val="22"/>
          <w:szCs w:val="22"/>
          <w:lang w:val="es-CO"/>
        </w:rPr>
        <w:t>ra del último acceso.</w:t>
      </w:r>
    </w:p>
    <w:p w14:paraId="0020BA82" w14:textId="77777777" w:rsidR="00150AC2" w:rsidRPr="00373394" w:rsidRDefault="00150AC2" w:rsidP="00150AC2">
      <w:pPr>
        <w:pStyle w:val="Prrafodelista"/>
        <w:numPr>
          <w:ilvl w:val="0"/>
          <w:numId w:val="13"/>
        </w:numPr>
        <w:jc w:val="both"/>
        <w:rPr>
          <w:rFonts w:asciiTheme="minorHAnsi" w:hAnsiTheme="minorHAnsi" w:cs="Arial"/>
          <w:sz w:val="22"/>
          <w:szCs w:val="22"/>
          <w:lang w:val="es-CO"/>
        </w:rPr>
      </w:pPr>
      <w:r w:rsidRPr="00373394">
        <w:rPr>
          <w:rFonts w:asciiTheme="minorHAnsi" w:hAnsiTheme="minorHAnsi" w:cs="Arial"/>
          <w:b/>
          <w:sz w:val="22"/>
          <w:szCs w:val="22"/>
          <w:lang w:val="es-CO"/>
        </w:rPr>
        <w:t>Numeral 4.9.6 C.E. 042 de 2012:</w:t>
      </w:r>
      <w:r w:rsidRPr="00373394">
        <w:rPr>
          <w:rFonts w:asciiTheme="minorHAnsi" w:hAnsiTheme="minorHAnsi" w:cs="Arial"/>
          <w:sz w:val="22"/>
          <w:szCs w:val="22"/>
          <w:lang w:val="es-CO"/>
        </w:rPr>
        <w:t xml:space="preserve"> Implementar mecanismos que permitan a la entidad financiera verificar constantemente que no sean modificados los enlaces (links) de su sitio Web, ni suplantados sus certificados digitales, ni modificada indebidamente la resolución de sus DNS. </w:t>
      </w:r>
    </w:p>
    <w:p w14:paraId="029FC19B" w14:textId="77777777" w:rsidR="00150AC2" w:rsidRPr="00373394" w:rsidRDefault="00150AC2" w:rsidP="00150AC2">
      <w:pPr>
        <w:pStyle w:val="Prrafodelista"/>
        <w:numPr>
          <w:ilvl w:val="0"/>
          <w:numId w:val="13"/>
        </w:numPr>
        <w:jc w:val="both"/>
        <w:rPr>
          <w:rFonts w:asciiTheme="minorHAnsi" w:hAnsiTheme="minorHAnsi" w:cs="Arial"/>
          <w:b/>
          <w:color w:val="000000"/>
          <w:sz w:val="22"/>
          <w:szCs w:val="22"/>
        </w:rPr>
      </w:pPr>
      <w:r w:rsidRPr="00373394">
        <w:rPr>
          <w:rFonts w:asciiTheme="minorHAnsi" w:hAnsiTheme="minorHAnsi" w:cs="Arial"/>
          <w:b/>
          <w:sz w:val="22"/>
          <w:szCs w:val="22"/>
          <w:lang w:val="es-CO"/>
        </w:rPr>
        <w:t>Numeral 4.9.7 C.E. 042 de 2012:</w:t>
      </w:r>
      <w:r w:rsidRPr="00373394">
        <w:rPr>
          <w:rFonts w:asciiTheme="minorHAnsi" w:hAnsiTheme="minorHAnsi" w:cs="Arial"/>
          <w:sz w:val="22"/>
          <w:szCs w:val="22"/>
          <w:lang w:val="es-CO"/>
        </w:rPr>
        <w:t xml:space="preserve"> </w:t>
      </w:r>
      <w:r w:rsidRPr="00373394">
        <w:rPr>
          <w:rFonts w:asciiTheme="minorHAnsi" w:hAnsiTheme="minorHAnsi" w:cs="Arial"/>
          <w:color w:val="000000"/>
          <w:sz w:val="22"/>
          <w:szCs w:val="22"/>
        </w:rPr>
        <w:t xml:space="preserve">Contar con mecanismos para incrementar la seguridad de los portales, protegiéndolos de ataques de negación de servicio, inyección de código malicioso u objetos </w:t>
      </w:r>
      <w:r w:rsidRPr="002200F8">
        <w:rPr>
          <w:rFonts w:asciiTheme="minorHAnsi" w:hAnsiTheme="minorHAnsi" w:cs="Arial"/>
          <w:color w:val="000000" w:themeColor="text1"/>
          <w:sz w:val="22"/>
          <w:szCs w:val="22"/>
        </w:rPr>
        <w:t xml:space="preserve">maliciosos, que afecten la seguridad de la operación o su conclusión exitosa. </w:t>
      </w:r>
    </w:p>
    <w:p w14:paraId="45D30983" w14:textId="77777777" w:rsidR="00150AC2" w:rsidRPr="00373394" w:rsidRDefault="00150AC2" w:rsidP="00150AC2">
      <w:pPr>
        <w:jc w:val="both"/>
        <w:rPr>
          <w:rFonts w:asciiTheme="minorHAnsi" w:hAnsiTheme="minorHAnsi" w:cs="Arial"/>
          <w:b/>
          <w:color w:val="000000"/>
          <w:sz w:val="22"/>
          <w:szCs w:val="22"/>
        </w:rPr>
      </w:pPr>
    </w:p>
    <w:p w14:paraId="4C20C344" w14:textId="77777777" w:rsidR="00150AC2" w:rsidRPr="00373394" w:rsidRDefault="00150AC2" w:rsidP="00150AC2">
      <w:pPr>
        <w:pStyle w:val="Sinespaciado"/>
        <w:numPr>
          <w:ilvl w:val="0"/>
          <w:numId w:val="4"/>
        </w:numPr>
        <w:jc w:val="both"/>
        <w:rPr>
          <w:rFonts w:asciiTheme="minorHAnsi" w:hAnsiTheme="minorHAnsi"/>
          <w:b/>
          <w:snapToGrid w:val="0"/>
          <w:lang w:val="es-ES"/>
        </w:rPr>
      </w:pPr>
      <w:r w:rsidRPr="00373394">
        <w:rPr>
          <w:rFonts w:asciiTheme="minorHAnsi" w:hAnsiTheme="minorHAnsi"/>
          <w:b/>
          <w:snapToGrid w:val="0"/>
          <w:lang w:val="es-ES"/>
        </w:rPr>
        <w:t>Numeral 5 C.E. 042 de 2012</w:t>
      </w:r>
      <w:r>
        <w:rPr>
          <w:rFonts w:asciiTheme="minorHAnsi" w:hAnsiTheme="minorHAnsi"/>
          <w:b/>
          <w:snapToGrid w:val="0"/>
          <w:lang w:val="es-ES"/>
        </w:rPr>
        <w:t xml:space="preserve">: </w:t>
      </w:r>
      <w:r w:rsidRPr="00373394">
        <w:rPr>
          <w:rFonts w:asciiTheme="minorHAnsi" w:hAnsiTheme="minorHAnsi"/>
          <w:snapToGrid w:val="0"/>
          <w:lang w:val="es-ES"/>
        </w:rPr>
        <w:t xml:space="preserve">Mantener tres ambientes independientes: uno para el desarrollo de software, otro para la realización de pruebas, y un tercer ambiente para los sistemas en producción. En todo caso, el desempeño y la seguridad de un ambiente no podrá influir en </w:t>
      </w:r>
      <w:r w:rsidRPr="002200F8">
        <w:rPr>
          <w:rFonts w:asciiTheme="minorHAnsi" w:hAnsiTheme="minorHAnsi"/>
          <w:snapToGrid w:val="0"/>
          <w:color w:val="000000" w:themeColor="text1"/>
          <w:lang w:val="es-ES"/>
        </w:rPr>
        <w:t>los demás</w:t>
      </w:r>
      <w:r>
        <w:rPr>
          <w:rFonts w:asciiTheme="minorHAnsi" w:hAnsiTheme="minorHAnsi"/>
          <w:snapToGrid w:val="0"/>
          <w:color w:val="000000" w:themeColor="text1"/>
          <w:lang w:val="es-ES"/>
        </w:rPr>
        <w:t>.</w:t>
      </w:r>
    </w:p>
    <w:p w14:paraId="1FEFD5B5" w14:textId="77777777" w:rsidR="00150AC2" w:rsidRPr="00373394" w:rsidRDefault="00150AC2" w:rsidP="00150AC2">
      <w:pPr>
        <w:pStyle w:val="Sinespaciado"/>
        <w:ind w:left="1440"/>
        <w:jc w:val="both"/>
        <w:rPr>
          <w:rFonts w:asciiTheme="minorHAnsi" w:hAnsiTheme="minorHAnsi"/>
          <w:snapToGrid w:val="0"/>
          <w:lang w:val="es-ES"/>
        </w:rPr>
      </w:pPr>
    </w:p>
    <w:p w14:paraId="4EE6379A" w14:textId="77777777" w:rsidR="00150AC2" w:rsidRPr="00373394" w:rsidRDefault="00150AC2" w:rsidP="00150AC2">
      <w:pPr>
        <w:pStyle w:val="Sinespaciado"/>
        <w:ind w:left="709"/>
        <w:jc w:val="both"/>
        <w:rPr>
          <w:rFonts w:asciiTheme="minorHAnsi" w:hAnsiTheme="minorHAnsi"/>
          <w:snapToGrid w:val="0"/>
          <w:lang w:val="es-ES"/>
        </w:rPr>
      </w:pPr>
      <w:r w:rsidRPr="00373394">
        <w:rPr>
          <w:rFonts w:asciiTheme="minorHAnsi" w:hAnsiTheme="minorHAnsi"/>
          <w:snapToGrid w:val="0"/>
          <w:lang w:val="es-ES"/>
        </w:rPr>
        <w:t>Por tratarse de una solución adquirida, el esquema de ambientes será el que posea el proveedor, sin perjuicio que la esencia del control que busca la norma, se preserve</w:t>
      </w:r>
      <w:r>
        <w:rPr>
          <w:rFonts w:asciiTheme="minorHAnsi" w:hAnsiTheme="minorHAnsi"/>
          <w:snapToGrid w:val="0"/>
          <w:lang w:val="es-ES"/>
        </w:rPr>
        <w:t>.</w:t>
      </w:r>
    </w:p>
    <w:p w14:paraId="70EFE748" w14:textId="77777777" w:rsidR="00150AC2" w:rsidRPr="00373394" w:rsidRDefault="00150AC2" w:rsidP="00150AC2">
      <w:pPr>
        <w:pStyle w:val="Sinespaciado"/>
        <w:ind w:left="1440"/>
        <w:jc w:val="both"/>
        <w:rPr>
          <w:rFonts w:asciiTheme="minorHAnsi" w:hAnsiTheme="minorHAnsi"/>
          <w:b/>
          <w:snapToGrid w:val="0"/>
          <w:lang w:val="es-ES"/>
        </w:rPr>
      </w:pPr>
    </w:p>
    <w:p w14:paraId="3E88BB47" w14:textId="77777777" w:rsidR="00150AC2" w:rsidRPr="00373394" w:rsidRDefault="00150AC2" w:rsidP="00150AC2">
      <w:pPr>
        <w:pStyle w:val="Sinespaciado"/>
        <w:numPr>
          <w:ilvl w:val="0"/>
          <w:numId w:val="11"/>
        </w:numPr>
        <w:jc w:val="both"/>
        <w:rPr>
          <w:rFonts w:asciiTheme="minorHAnsi" w:hAnsiTheme="minorHAnsi"/>
          <w:snapToGrid w:val="0"/>
          <w:lang w:val="es-ES"/>
        </w:rPr>
      </w:pPr>
      <w:r>
        <w:rPr>
          <w:rFonts w:asciiTheme="minorHAnsi" w:hAnsiTheme="minorHAnsi"/>
          <w:b/>
          <w:snapToGrid w:val="0"/>
          <w:lang w:val="es-ES"/>
        </w:rPr>
        <w:t xml:space="preserve">Numeral 5.5 C.E. 042 de 2012: </w:t>
      </w:r>
      <w:r w:rsidRPr="00373394">
        <w:rPr>
          <w:rFonts w:asciiTheme="minorHAnsi" w:hAnsiTheme="minorHAnsi"/>
          <w:snapToGrid w:val="0"/>
          <w:lang w:val="es-ES"/>
        </w:rPr>
        <w:t xml:space="preserve">Contar con interfaces que cumplan con los criterios de seguridad y calidad, de tal manera que los funcionarios y otros servicios puedan hacer uso de ellas </w:t>
      </w:r>
      <w:r>
        <w:rPr>
          <w:rFonts w:asciiTheme="minorHAnsi" w:hAnsiTheme="minorHAnsi"/>
          <w:snapToGrid w:val="0"/>
          <w:lang w:val="es-ES"/>
        </w:rPr>
        <w:t>de una forma simple e intuitiva.</w:t>
      </w:r>
    </w:p>
    <w:p w14:paraId="1E857207" w14:textId="77777777" w:rsidR="00150AC2" w:rsidRPr="00DA189A" w:rsidRDefault="00150AC2" w:rsidP="00150AC2">
      <w:pPr>
        <w:jc w:val="both"/>
        <w:rPr>
          <w:rFonts w:ascii="Arial" w:hAnsi="Arial" w:cs="Arial"/>
          <w:sz w:val="18"/>
          <w:szCs w:val="18"/>
          <w:highlight w:val="cyan"/>
          <w:lang w:val="es-CO"/>
        </w:rPr>
      </w:pPr>
    </w:p>
    <w:p w14:paraId="00744B37" w14:textId="77777777" w:rsidR="00150AC2" w:rsidRPr="00F37034" w:rsidRDefault="00150AC2" w:rsidP="00150AC2">
      <w:pPr>
        <w:pStyle w:val="Sinespaciado"/>
        <w:numPr>
          <w:ilvl w:val="1"/>
          <w:numId w:val="12"/>
        </w:numPr>
        <w:ind w:left="1091"/>
        <w:jc w:val="both"/>
        <w:rPr>
          <w:rFonts w:asciiTheme="minorHAnsi" w:hAnsiTheme="minorHAnsi"/>
          <w:snapToGrid w:val="0"/>
          <w:lang w:val="es-ES"/>
        </w:rPr>
      </w:pPr>
      <w:r w:rsidRPr="00373394">
        <w:rPr>
          <w:rFonts w:asciiTheme="minorHAnsi" w:hAnsiTheme="minorHAnsi"/>
          <w:b/>
          <w:snapToGrid w:val="0"/>
          <w:lang w:val="es-ES"/>
        </w:rPr>
        <w:t xml:space="preserve">Numeral 5.6 C.E. 042 de 2012: </w:t>
      </w:r>
      <w:r w:rsidRPr="00F37034">
        <w:rPr>
          <w:rFonts w:asciiTheme="minorHAnsi" w:hAnsiTheme="minorHAnsi"/>
          <w:snapToGrid w:val="0"/>
          <w:lang w:val="es-ES"/>
        </w:rPr>
        <w:t>Mantener documentada y actualizada, al menos, la siguiente información: parámetros de los sistemas donde operan las aplicaciones en producción, incluido el ambiente de comunicaciones; versión de los programas y aplicativos en uso; soportes de las pruebas realizadas a los sistemas de información; y procedimien</w:t>
      </w:r>
      <w:r>
        <w:rPr>
          <w:rFonts w:asciiTheme="minorHAnsi" w:hAnsiTheme="minorHAnsi"/>
          <w:snapToGrid w:val="0"/>
          <w:lang w:val="es-ES"/>
        </w:rPr>
        <w:t>tos de instalación del software.</w:t>
      </w:r>
    </w:p>
    <w:p w14:paraId="08763A33" w14:textId="77777777" w:rsidR="00150AC2" w:rsidRPr="00F37034" w:rsidRDefault="00150AC2" w:rsidP="00150AC2">
      <w:pPr>
        <w:pStyle w:val="Sinespaciado"/>
        <w:ind w:left="720"/>
        <w:jc w:val="both"/>
        <w:rPr>
          <w:rFonts w:asciiTheme="minorHAnsi" w:hAnsiTheme="minorHAnsi"/>
          <w:snapToGrid w:val="0"/>
          <w:lang w:val="es-ES"/>
        </w:rPr>
      </w:pPr>
    </w:p>
    <w:p w14:paraId="3AA3795D" w14:textId="77777777" w:rsidR="00150AC2" w:rsidRPr="00F37034" w:rsidRDefault="00150AC2" w:rsidP="00150AC2">
      <w:pPr>
        <w:pStyle w:val="Sinespaciado"/>
        <w:numPr>
          <w:ilvl w:val="1"/>
          <w:numId w:val="12"/>
        </w:numPr>
        <w:ind w:left="1091"/>
        <w:jc w:val="both"/>
        <w:rPr>
          <w:rFonts w:asciiTheme="minorHAnsi" w:hAnsiTheme="minorHAnsi"/>
          <w:snapToGrid w:val="0"/>
          <w:lang w:val="es-ES"/>
        </w:rPr>
      </w:pPr>
      <w:r w:rsidRPr="00F37034">
        <w:rPr>
          <w:rFonts w:asciiTheme="minorHAnsi" w:hAnsiTheme="minorHAnsi"/>
          <w:snapToGrid w:val="0"/>
          <w:lang w:val="es-ES"/>
        </w:rPr>
        <w:lastRenderedPageBreak/>
        <w:t xml:space="preserve">Preferiblemente el sistema debe contar con consultas que faciliten el cumplimiento de lo descrito en </w:t>
      </w:r>
      <w:r w:rsidRPr="002200F8">
        <w:rPr>
          <w:rFonts w:asciiTheme="minorHAnsi" w:hAnsiTheme="minorHAnsi"/>
          <w:snapToGrid w:val="0"/>
          <w:color w:val="000000" w:themeColor="text1"/>
          <w:lang w:val="es-ES"/>
        </w:rPr>
        <w:t xml:space="preserve">el anterior numeral </w:t>
      </w:r>
      <w:r w:rsidRPr="00F37034">
        <w:rPr>
          <w:rFonts w:asciiTheme="minorHAnsi" w:hAnsiTheme="minorHAnsi"/>
          <w:snapToGrid w:val="0"/>
          <w:lang w:val="es-ES"/>
        </w:rPr>
        <w:t xml:space="preserve">y especialmente las opciones activas que no son </w:t>
      </w:r>
      <w:r>
        <w:rPr>
          <w:rFonts w:asciiTheme="minorHAnsi" w:hAnsiTheme="minorHAnsi"/>
          <w:snapToGrid w:val="0"/>
          <w:lang w:val="es-ES"/>
        </w:rPr>
        <w:t>utilizadas por los funcionarios.</w:t>
      </w:r>
    </w:p>
    <w:p w14:paraId="2C73CB07" w14:textId="77777777" w:rsidR="00150AC2" w:rsidRPr="00DA189A" w:rsidRDefault="00150AC2" w:rsidP="00150AC2">
      <w:pPr>
        <w:rPr>
          <w:rFonts w:ascii="Arial" w:hAnsi="Arial" w:cs="Arial"/>
          <w:sz w:val="18"/>
          <w:szCs w:val="18"/>
          <w:highlight w:val="cyan"/>
        </w:rPr>
      </w:pPr>
    </w:p>
    <w:p w14:paraId="71408C6E" w14:textId="77777777" w:rsidR="00150AC2" w:rsidRPr="00F37034" w:rsidRDefault="00150AC2" w:rsidP="00150AC2">
      <w:pPr>
        <w:pStyle w:val="Sinespaciado"/>
        <w:numPr>
          <w:ilvl w:val="0"/>
          <w:numId w:val="7"/>
        </w:numPr>
        <w:jc w:val="both"/>
        <w:rPr>
          <w:rFonts w:asciiTheme="minorHAnsi" w:hAnsiTheme="minorHAnsi"/>
          <w:b/>
          <w:snapToGrid w:val="0"/>
          <w:lang w:val="es-ES"/>
        </w:rPr>
      </w:pPr>
      <w:r w:rsidRPr="00F37034">
        <w:rPr>
          <w:rFonts w:asciiTheme="minorHAnsi" w:hAnsiTheme="minorHAnsi"/>
          <w:b/>
          <w:snapToGrid w:val="0"/>
          <w:lang w:val="es-ES"/>
        </w:rPr>
        <w:t xml:space="preserve">Numeral 7 C.E. 042 de 2012: </w:t>
      </w:r>
      <w:r w:rsidRPr="00F37034">
        <w:rPr>
          <w:rFonts w:asciiTheme="minorHAnsi" w:hAnsiTheme="minorHAnsi"/>
          <w:snapToGrid w:val="0"/>
          <w:lang w:val="es-ES"/>
        </w:rPr>
        <w:t>Las entidades deberán implementar un sistema de análisis de vulnerabilidades informáticas que cumpla al menos con los siguientes requisitos:</w:t>
      </w:r>
    </w:p>
    <w:p w14:paraId="54583D57" w14:textId="77777777" w:rsidR="00150AC2" w:rsidRPr="00DA189A" w:rsidRDefault="00150AC2" w:rsidP="00150AC2">
      <w:pPr>
        <w:jc w:val="both"/>
        <w:rPr>
          <w:rFonts w:ascii="Arial" w:hAnsi="Arial" w:cs="Arial"/>
          <w:sz w:val="18"/>
          <w:szCs w:val="18"/>
          <w:highlight w:val="cyan"/>
        </w:rPr>
      </w:pPr>
      <w:r w:rsidRPr="00DA189A">
        <w:rPr>
          <w:rFonts w:ascii="Arial" w:hAnsi="Arial" w:cs="Arial"/>
          <w:sz w:val="18"/>
          <w:szCs w:val="18"/>
          <w:highlight w:val="cyan"/>
        </w:rPr>
        <w:t xml:space="preserve"> </w:t>
      </w:r>
    </w:p>
    <w:p w14:paraId="5836034D" w14:textId="77777777" w:rsidR="00150AC2" w:rsidRPr="00242D1A" w:rsidRDefault="00150AC2" w:rsidP="00150AC2">
      <w:pPr>
        <w:pStyle w:val="Prrafodelista"/>
        <w:numPr>
          <w:ilvl w:val="0"/>
          <w:numId w:val="10"/>
        </w:numPr>
        <w:spacing w:after="200" w:line="276" w:lineRule="auto"/>
        <w:contextualSpacing/>
        <w:jc w:val="both"/>
        <w:rPr>
          <w:rFonts w:asciiTheme="minorHAnsi" w:hAnsiTheme="minorHAnsi"/>
          <w:sz w:val="22"/>
          <w:szCs w:val="22"/>
        </w:rPr>
      </w:pPr>
      <w:r w:rsidRPr="00242D1A">
        <w:rPr>
          <w:rFonts w:asciiTheme="minorHAnsi" w:hAnsiTheme="minorHAnsi"/>
          <w:sz w:val="22"/>
          <w:szCs w:val="22"/>
        </w:rPr>
        <w:t>Estar basado en un hardware de propósito específico (appliance) totalmente separado e independiente de cualquier dispositivo de procesamiento de información, de comunicaciones y/o de seguridad informática.</w:t>
      </w:r>
    </w:p>
    <w:p w14:paraId="2B2992DE" w14:textId="77777777" w:rsidR="00150AC2" w:rsidRPr="00242D1A" w:rsidRDefault="00150AC2" w:rsidP="00150AC2">
      <w:pPr>
        <w:pStyle w:val="Prrafodelista"/>
        <w:numPr>
          <w:ilvl w:val="0"/>
          <w:numId w:val="10"/>
        </w:numPr>
        <w:spacing w:after="200" w:line="276" w:lineRule="auto"/>
        <w:contextualSpacing/>
        <w:jc w:val="both"/>
        <w:rPr>
          <w:rFonts w:asciiTheme="minorHAnsi" w:hAnsiTheme="minorHAnsi"/>
          <w:sz w:val="22"/>
          <w:szCs w:val="22"/>
        </w:rPr>
      </w:pPr>
      <w:r w:rsidRPr="00242D1A">
        <w:rPr>
          <w:rFonts w:asciiTheme="minorHAnsi" w:hAnsiTheme="minorHAnsi"/>
          <w:sz w:val="22"/>
          <w:szCs w:val="22"/>
        </w:rPr>
        <w:t xml:space="preserve">Generar de manera automática por lo menos dos (2) veces al año un informe consolidado de las vulnerabilidades encontradas. </w:t>
      </w:r>
    </w:p>
    <w:p w14:paraId="74F405B8" w14:textId="77777777" w:rsidR="00150AC2" w:rsidRPr="00242D1A" w:rsidRDefault="00150AC2" w:rsidP="00150AC2">
      <w:pPr>
        <w:pStyle w:val="Prrafodelista"/>
        <w:numPr>
          <w:ilvl w:val="0"/>
          <w:numId w:val="10"/>
        </w:numPr>
        <w:spacing w:after="200" w:line="276" w:lineRule="auto"/>
        <w:contextualSpacing/>
        <w:jc w:val="both"/>
        <w:rPr>
          <w:rFonts w:asciiTheme="minorHAnsi" w:hAnsiTheme="minorHAnsi"/>
          <w:sz w:val="22"/>
          <w:szCs w:val="22"/>
        </w:rPr>
      </w:pPr>
      <w:r w:rsidRPr="00242D1A">
        <w:rPr>
          <w:rFonts w:asciiTheme="minorHAnsi" w:hAnsiTheme="minorHAnsi"/>
          <w:sz w:val="22"/>
          <w:szCs w:val="22"/>
        </w:rPr>
        <w:t>Las entidades deberán tomar las medidas necesarias para remediar las vulnerabilidades detectadas en sus análisis.</w:t>
      </w:r>
    </w:p>
    <w:p w14:paraId="508C5117" w14:textId="77777777" w:rsidR="00150AC2" w:rsidRPr="00242D1A" w:rsidRDefault="00150AC2" w:rsidP="00150AC2">
      <w:pPr>
        <w:pStyle w:val="Prrafodelista"/>
        <w:numPr>
          <w:ilvl w:val="0"/>
          <w:numId w:val="10"/>
        </w:numPr>
        <w:spacing w:after="200" w:line="276" w:lineRule="auto"/>
        <w:contextualSpacing/>
        <w:jc w:val="both"/>
        <w:rPr>
          <w:rFonts w:asciiTheme="minorHAnsi" w:hAnsiTheme="minorHAnsi"/>
          <w:sz w:val="22"/>
          <w:szCs w:val="22"/>
        </w:rPr>
      </w:pPr>
      <w:r w:rsidRPr="00242D1A">
        <w:rPr>
          <w:rFonts w:asciiTheme="minorHAnsi" w:hAnsiTheme="minorHAnsi"/>
          <w:sz w:val="22"/>
          <w:szCs w:val="22"/>
        </w:rPr>
        <w:t>Realizar un análisis diferencial de vulnerabilidades, comparando el informe actual con respecto al inmediatamente anterior.</w:t>
      </w:r>
    </w:p>
    <w:p w14:paraId="320FB2E7" w14:textId="77777777" w:rsidR="00150AC2" w:rsidRPr="00242D1A" w:rsidRDefault="00150AC2" w:rsidP="00150AC2">
      <w:pPr>
        <w:pStyle w:val="Prrafodelista"/>
        <w:numPr>
          <w:ilvl w:val="0"/>
          <w:numId w:val="10"/>
        </w:numPr>
        <w:spacing w:after="200" w:line="276" w:lineRule="auto"/>
        <w:contextualSpacing/>
        <w:jc w:val="both"/>
        <w:rPr>
          <w:rFonts w:asciiTheme="minorHAnsi" w:hAnsiTheme="minorHAnsi"/>
          <w:sz w:val="22"/>
          <w:szCs w:val="22"/>
        </w:rPr>
      </w:pPr>
      <w:r w:rsidRPr="00242D1A">
        <w:rPr>
          <w:rFonts w:asciiTheme="minorHAnsi" w:hAnsiTheme="minorHAnsi"/>
          <w:sz w:val="22"/>
          <w:szCs w:val="22"/>
        </w:rPr>
        <w:t>Las herramientas usadas en el análisis de vulnerabilidades deberán estar homologadas por el CVE (Common Vulnerabilities and Exposures) y actualizadas a la fecha de su utilización.</w:t>
      </w:r>
    </w:p>
    <w:p w14:paraId="1F4F0FB4" w14:textId="77777777" w:rsidR="00150AC2" w:rsidRPr="00242D1A" w:rsidRDefault="00150AC2" w:rsidP="00150AC2">
      <w:pPr>
        <w:pStyle w:val="Prrafodelista"/>
        <w:numPr>
          <w:ilvl w:val="0"/>
          <w:numId w:val="10"/>
        </w:numPr>
        <w:spacing w:after="200" w:line="276" w:lineRule="auto"/>
        <w:contextualSpacing/>
        <w:jc w:val="both"/>
        <w:rPr>
          <w:rFonts w:asciiTheme="minorHAnsi" w:hAnsiTheme="minorHAnsi"/>
          <w:sz w:val="22"/>
          <w:szCs w:val="22"/>
        </w:rPr>
      </w:pPr>
      <w:r w:rsidRPr="00242D1A">
        <w:rPr>
          <w:rFonts w:asciiTheme="minorHAnsi" w:hAnsiTheme="minorHAnsi"/>
          <w:sz w:val="22"/>
          <w:szCs w:val="22"/>
        </w:rPr>
        <w:t>Para la generación de los informes solicitados se deberá tomar como referencia la lista de nombres de vulnerabilidades CVE publicada por la corporación Mitre (</w:t>
      </w:r>
      <w:hyperlink r:id="rId7" w:history="1">
        <w:r w:rsidRPr="00242D1A">
          <w:rPr>
            <w:rFonts w:asciiTheme="minorHAnsi" w:hAnsiTheme="minorHAnsi"/>
            <w:sz w:val="22"/>
            <w:szCs w:val="22"/>
          </w:rPr>
          <w:t>www.mitre.org</w:t>
        </w:r>
      </w:hyperlink>
      <w:r w:rsidRPr="00242D1A">
        <w:rPr>
          <w:rFonts w:asciiTheme="minorHAnsi" w:hAnsiTheme="minorHAnsi"/>
          <w:sz w:val="22"/>
          <w:szCs w:val="22"/>
        </w:rPr>
        <w:t xml:space="preserve">). </w:t>
      </w:r>
    </w:p>
    <w:p w14:paraId="371A2051" w14:textId="77777777" w:rsidR="00150AC2" w:rsidRPr="006B69C8" w:rsidRDefault="00150AC2" w:rsidP="00150AC2">
      <w:pPr>
        <w:spacing w:line="360" w:lineRule="auto"/>
        <w:rPr>
          <w:rFonts w:ascii="Arial" w:hAnsi="Arial" w:cs="Arial"/>
          <w:sz w:val="18"/>
          <w:szCs w:val="18"/>
          <w:highlight w:val="cyan"/>
        </w:rPr>
      </w:pPr>
    </w:p>
    <w:p w14:paraId="0056988C" w14:textId="7FDB75E4" w:rsidR="00150AC2" w:rsidRPr="002D35F4" w:rsidRDefault="00767E03" w:rsidP="00767E03">
      <w:pPr>
        <w:pStyle w:val="Ttulo2"/>
        <w:keepLines w:val="0"/>
        <w:spacing w:before="0" w:line="276" w:lineRule="auto"/>
        <w:ind w:left="360"/>
        <w:jc w:val="both"/>
        <w:rPr>
          <w:rFonts w:asciiTheme="minorHAnsi" w:eastAsia="Calibri" w:hAnsiTheme="minorHAnsi" w:cs="Times New Roman"/>
          <w:b/>
          <w:snapToGrid w:val="0"/>
          <w:color w:val="auto"/>
          <w:sz w:val="22"/>
          <w:szCs w:val="22"/>
          <w:lang w:eastAsia="en-US"/>
        </w:rPr>
      </w:pPr>
      <w:bookmarkStart w:id="1" w:name="_Toc470710989"/>
      <w:r>
        <w:rPr>
          <w:rFonts w:asciiTheme="minorHAnsi" w:eastAsia="Calibri" w:hAnsiTheme="minorHAnsi" w:cs="Times New Roman"/>
          <w:b/>
          <w:snapToGrid w:val="0"/>
          <w:color w:val="auto"/>
          <w:sz w:val="22"/>
          <w:szCs w:val="22"/>
          <w:lang w:eastAsia="en-US"/>
        </w:rPr>
        <w:t xml:space="preserve">1.4 </w:t>
      </w:r>
      <w:r w:rsidR="00150AC2" w:rsidRPr="002D35F4">
        <w:rPr>
          <w:rFonts w:asciiTheme="minorHAnsi" w:eastAsia="Calibri" w:hAnsiTheme="minorHAnsi" w:cs="Times New Roman"/>
          <w:b/>
          <w:snapToGrid w:val="0"/>
          <w:color w:val="auto"/>
          <w:sz w:val="22"/>
          <w:szCs w:val="22"/>
          <w:lang w:eastAsia="en-US"/>
        </w:rPr>
        <w:t>CONSIDERACIONES ADICIONALES</w:t>
      </w:r>
      <w:bookmarkEnd w:id="1"/>
    </w:p>
    <w:p w14:paraId="1526F387" w14:textId="77777777" w:rsidR="00150AC2" w:rsidRDefault="00150AC2" w:rsidP="00150AC2">
      <w:pPr>
        <w:spacing w:line="276" w:lineRule="auto"/>
        <w:jc w:val="both"/>
        <w:rPr>
          <w:rFonts w:asciiTheme="minorHAnsi" w:hAnsiTheme="minorHAnsi" w:cstheme="minorHAnsi"/>
          <w:sz w:val="22"/>
          <w:szCs w:val="22"/>
        </w:rPr>
      </w:pPr>
    </w:p>
    <w:p w14:paraId="12592C28" w14:textId="77777777" w:rsidR="00150AC2" w:rsidRPr="00384A63" w:rsidRDefault="00150AC2" w:rsidP="00150AC2">
      <w:pPr>
        <w:pStyle w:val="Prrafodelista"/>
        <w:numPr>
          <w:ilvl w:val="0"/>
          <w:numId w:val="3"/>
        </w:numPr>
        <w:spacing w:line="276" w:lineRule="auto"/>
        <w:jc w:val="both"/>
        <w:rPr>
          <w:rFonts w:asciiTheme="minorHAnsi" w:hAnsiTheme="minorHAnsi" w:cstheme="minorHAnsi"/>
          <w:snapToGrid w:val="0"/>
          <w:color w:val="000000" w:themeColor="text1"/>
          <w:sz w:val="22"/>
          <w:szCs w:val="22"/>
        </w:rPr>
      </w:pPr>
      <w:r w:rsidRPr="00384A63">
        <w:rPr>
          <w:rFonts w:asciiTheme="minorHAnsi" w:hAnsiTheme="minorHAnsi" w:cstheme="minorHAnsi"/>
          <w:snapToGrid w:val="0"/>
          <w:color w:val="000000" w:themeColor="text1"/>
          <w:sz w:val="22"/>
          <w:szCs w:val="22"/>
        </w:rPr>
        <w:t>El proponente deberá describir claramente el esquema de seguridad que maneja la solución o servicio; dando a conocer las características de acceso, roles, perfiles, permisos</w:t>
      </w:r>
      <w:r>
        <w:rPr>
          <w:rFonts w:asciiTheme="minorHAnsi" w:hAnsiTheme="minorHAnsi" w:cstheme="minorHAnsi"/>
          <w:snapToGrid w:val="0"/>
          <w:color w:val="000000" w:themeColor="text1"/>
          <w:sz w:val="22"/>
          <w:szCs w:val="22"/>
        </w:rPr>
        <w:t>,</w:t>
      </w:r>
      <w:r w:rsidRPr="00384A63">
        <w:rPr>
          <w:rFonts w:asciiTheme="minorHAnsi" w:hAnsiTheme="minorHAnsi" w:cstheme="minorHAnsi"/>
          <w:snapToGrid w:val="0"/>
          <w:color w:val="000000" w:themeColor="text1"/>
          <w:sz w:val="22"/>
          <w:szCs w:val="22"/>
        </w:rPr>
        <w:t xml:space="preserve"> auditoría</w:t>
      </w:r>
      <w:r w:rsidRPr="00384A63">
        <w:rPr>
          <w:rFonts w:asciiTheme="minorHAnsi" w:hAnsiTheme="minorHAnsi"/>
          <w:color w:val="000000" w:themeColor="text1"/>
          <w:sz w:val="22"/>
          <w:szCs w:val="22"/>
        </w:rPr>
        <w:t>, actualiz</w:t>
      </w:r>
      <w:r>
        <w:rPr>
          <w:rFonts w:asciiTheme="minorHAnsi" w:hAnsiTheme="minorHAnsi"/>
          <w:color w:val="000000" w:themeColor="text1"/>
          <w:sz w:val="22"/>
          <w:szCs w:val="22"/>
        </w:rPr>
        <w:t>aciones de seguridad, antivirus y</w:t>
      </w:r>
      <w:r w:rsidRPr="00384A63">
        <w:rPr>
          <w:rFonts w:asciiTheme="minorHAnsi" w:hAnsiTheme="minorHAnsi"/>
          <w:color w:val="000000" w:themeColor="text1"/>
          <w:sz w:val="22"/>
          <w:szCs w:val="22"/>
        </w:rPr>
        <w:t xml:space="preserve"> análisis de vulnerabilidades utilizados en lo</w:t>
      </w:r>
      <w:r>
        <w:rPr>
          <w:rFonts w:asciiTheme="minorHAnsi" w:hAnsiTheme="minorHAnsi"/>
          <w:color w:val="000000" w:themeColor="text1"/>
          <w:sz w:val="22"/>
          <w:szCs w:val="22"/>
        </w:rPr>
        <w:t>s servidores dedicados para la solución</w:t>
      </w:r>
      <w:r w:rsidRPr="00384A63">
        <w:rPr>
          <w:rFonts w:asciiTheme="minorHAnsi" w:hAnsiTheme="minorHAnsi"/>
          <w:color w:val="000000" w:themeColor="text1"/>
          <w:sz w:val="22"/>
          <w:szCs w:val="22"/>
        </w:rPr>
        <w:t>, entre otros aspectos mencionados en la circular (042) de la Superintendencia Financiera de Colombia</w:t>
      </w:r>
      <w:r>
        <w:rPr>
          <w:rFonts w:asciiTheme="minorHAnsi" w:hAnsiTheme="minorHAnsi"/>
          <w:color w:val="000000" w:themeColor="text1"/>
          <w:sz w:val="22"/>
          <w:szCs w:val="22"/>
        </w:rPr>
        <w:t>.</w:t>
      </w:r>
    </w:p>
    <w:p w14:paraId="01FFBF87" w14:textId="77777777" w:rsidR="00150AC2" w:rsidRDefault="00150AC2" w:rsidP="00150AC2">
      <w:pPr>
        <w:spacing w:line="276" w:lineRule="auto"/>
        <w:ind w:left="720"/>
        <w:jc w:val="both"/>
        <w:rPr>
          <w:rFonts w:asciiTheme="minorHAnsi" w:hAnsiTheme="minorHAnsi" w:cstheme="minorHAnsi"/>
          <w:sz w:val="22"/>
          <w:szCs w:val="22"/>
          <w:highlight w:val="yellow"/>
        </w:rPr>
      </w:pPr>
    </w:p>
    <w:p w14:paraId="4B633E2B" w14:textId="77777777" w:rsidR="00150AC2" w:rsidRDefault="00150AC2" w:rsidP="00150AC2">
      <w:pPr>
        <w:pStyle w:val="Prrafodelista"/>
        <w:numPr>
          <w:ilvl w:val="0"/>
          <w:numId w:val="3"/>
        </w:numPr>
        <w:spacing w:line="276" w:lineRule="auto"/>
        <w:jc w:val="both"/>
        <w:rPr>
          <w:rFonts w:asciiTheme="minorHAnsi" w:hAnsiTheme="minorHAnsi" w:cstheme="minorHAnsi"/>
          <w:sz w:val="22"/>
          <w:szCs w:val="22"/>
        </w:rPr>
      </w:pPr>
      <w:r w:rsidRPr="00DC47EC">
        <w:rPr>
          <w:rFonts w:asciiTheme="minorHAnsi" w:hAnsiTheme="minorHAnsi" w:cstheme="minorHAnsi"/>
          <w:sz w:val="22"/>
          <w:szCs w:val="22"/>
        </w:rPr>
        <w:t>Toda la información que se maneje en virtud del desarrollo del contrato es de propiedad de Bancóldex y el proponente o proveedor debe describir claramente los mecanismos para la destrucción de la misma, cuando ya no sea necesaria, o cuando el contrato finalice, así como para devolverla a Bancóldex en un formato estándar</w:t>
      </w:r>
      <w:r>
        <w:rPr>
          <w:rFonts w:asciiTheme="minorHAnsi" w:hAnsiTheme="minorHAnsi" w:cstheme="minorHAnsi"/>
          <w:sz w:val="22"/>
          <w:szCs w:val="22"/>
        </w:rPr>
        <w:t>.</w:t>
      </w:r>
    </w:p>
    <w:p w14:paraId="3954D664" w14:textId="77777777" w:rsidR="00150AC2" w:rsidRPr="00914499" w:rsidRDefault="00150AC2" w:rsidP="00150AC2">
      <w:pPr>
        <w:pStyle w:val="Prrafodelista"/>
        <w:rPr>
          <w:rFonts w:asciiTheme="minorHAnsi" w:hAnsiTheme="minorHAnsi" w:cstheme="minorHAnsi"/>
          <w:sz w:val="22"/>
          <w:szCs w:val="22"/>
        </w:rPr>
      </w:pPr>
    </w:p>
    <w:p w14:paraId="06B18410" w14:textId="77777777" w:rsidR="00150AC2" w:rsidRDefault="00150AC2" w:rsidP="00150AC2">
      <w:pPr>
        <w:pStyle w:val="Prrafodelista"/>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El proponente deberá tener en cuenta </w:t>
      </w:r>
      <w:r w:rsidRPr="00914499">
        <w:rPr>
          <w:rFonts w:asciiTheme="minorHAnsi" w:hAnsiTheme="minorHAnsi" w:cstheme="minorHAnsi"/>
          <w:sz w:val="22"/>
          <w:szCs w:val="22"/>
        </w:rPr>
        <w:t xml:space="preserve">los requerimientos de información y de disponibilidad de los servicios para clientes y usuarios, a que se refiere la </w:t>
      </w:r>
      <w:r w:rsidRPr="00413732">
        <w:rPr>
          <w:rFonts w:asciiTheme="minorHAnsi" w:hAnsiTheme="minorHAnsi" w:cstheme="minorHAnsi"/>
          <w:b/>
          <w:sz w:val="22"/>
          <w:szCs w:val="22"/>
        </w:rPr>
        <w:t>circular externa 028 de 2016</w:t>
      </w:r>
      <w:r>
        <w:rPr>
          <w:rFonts w:asciiTheme="minorHAnsi" w:hAnsiTheme="minorHAnsi" w:cstheme="minorHAnsi"/>
          <w:sz w:val="22"/>
          <w:szCs w:val="22"/>
        </w:rPr>
        <w:t>.</w:t>
      </w:r>
    </w:p>
    <w:p w14:paraId="63240319" w14:textId="77777777" w:rsidR="00150AC2" w:rsidRPr="00914499" w:rsidRDefault="00150AC2" w:rsidP="00150AC2">
      <w:pPr>
        <w:pStyle w:val="Prrafodelista"/>
        <w:rPr>
          <w:rFonts w:asciiTheme="minorHAnsi" w:hAnsiTheme="minorHAnsi" w:cstheme="minorHAnsi"/>
          <w:sz w:val="22"/>
          <w:szCs w:val="22"/>
        </w:rPr>
      </w:pPr>
    </w:p>
    <w:p w14:paraId="7797B324" w14:textId="77777777" w:rsidR="00150AC2" w:rsidRDefault="00150AC2" w:rsidP="00150AC2">
      <w:pPr>
        <w:pStyle w:val="Prrafodelista"/>
        <w:numPr>
          <w:ilvl w:val="0"/>
          <w:numId w:val="3"/>
        </w:numPr>
        <w:spacing w:line="276" w:lineRule="auto"/>
        <w:jc w:val="both"/>
        <w:rPr>
          <w:rFonts w:asciiTheme="minorHAnsi" w:hAnsiTheme="minorHAnsi" w:cstheme="minorHAnsi"/>
          <w:sz w:val="22"/>
          <w:szCs w:val="22"/>
        </w:rPr>
      </w:pPr>
      <w:r w:rsidRPr="00DC47EC">
        <w:rPr>
          <w:rFonts w:asciiTheme="minorHAnsi" w:hAnsiTheme="minorHAnsi" w:cstheme="minorHAnsi"/>
          <w:sz w:val="22"/>
          <w:szCs w:val="22"/>
        </w:rPr>
        <w:t>Implementación de CCM 3.0.1 (The Cloud Security Alliance Cloud Controls Matrix (CCM)</w:t>
      </w:r>
      <w:r>
        <w:rPr>
          <w:rFonts w:asciiTheme="minorHAnsi" w:hAnsiTheme="minorHAnsi" w:cstheme="minorHAnsi"/>
          <w:sz w:val="22"/>
          <w:szCs w:val="22"/>
        </w:rPr>
        <w:t>).</w:t>
      </w:r>
    </w:p>
    <w:p w14:paraId="11C05CD9" w14:textId="77777777" w:rsidR="00150AC2" w:rsidRPr="00730B85" w:rsidRDefault="00150AC2" w:rsidP="00150AC2">
      <w:pPr>
        <w:pStyle w:val="Prrafodelista"/>
        <w:rPr>
          <w:rFonts w:asciiTheme="minorHAnsi" w:hAnsiTheme="minorHAnsi" w:cstheme="minorHAnsi"/>
          <w:sz w:val="22"/>
          <w:szCs w:val="22"/>
        </w:rPr>
      </w:pPr>
    </w:p>
    <w:p w14:paraId="1BB6B28C" w14:textId="77777777" w:rsidR="00150AC2" w:rsidRPr="00F1792B" w:rsidRDefault="00150AC2" w:rsidP="00150AC2">
      <w:pPr>
        <w:pStyle w:val="WW-Textoindependiente3"/>
        <w:numPr>
          <w:ilvl w:val="0"/>
          <w:numId w:val="3"/>
        </w:numPr>
        <w:spacing w:line="276" w:lineRule="auto"/>
        <w:rPr>
          <w:rFonts w:asciiTheme="minorHAnsi" w:hAnsiTheme="minorHAnsi" w:cstheme="minorHAnsi"/>
          <w:color w:val="auto"/>
          <w:szCs w:val="22"/>
          <w:lang w:val="es-ES" w:eastAsia="es-ES"/>
        </w:rPr>
      </w:pPr>
      <w:r w:rsidRPr="00F1792B">
        <w:rPr>
          <w:rFonts w:asciiTheme="minorHAnsi" w:hAnsiTheme="minorHAnsi" w:cstheme="minorHAnsi"/>
          <w:color w:val="auto"/>
          <w:szCs w:val="22"/>
          <w:lang w:val="es-ES" w:eastAsia="es-ES"/>
        </w:rPr>
        <w:lastRenderedPageBreak/>
        <w:t>La propuesta debe garantizar que el proponente será el responsable exclusivo de la calidad, oportunidad y cumplimiento de las diferentes componentes del proceso</w:t>
      </w:r>
      <w:r>
        <w:rPr>
          <w:rFonts w:asciiTheme="minorHAnsi" w:hAnsiTheme="minorHAnsi" w:cstheme="minorHAnsi"/>
          <w:color w:val="auto"/>
          <w:szCs w:val="22"/>
          <w:lang w:val="es-ES" w:eastAsia="es-ES"/>
        </w:rPr>
        <w:t>.</w:t>
      </w:r>
    </w:p>
    <w:p w14:paraId="4AEC63CC" w14:textId="77777777" w:rsidR="00150AC2" w:rsidRPr="00F1792B" w:rsidRDefault="00150AC2" w:rsidP="00150AC2">
      <w:pPr>
        <w:spacing w:line="276" w:lineRule="auto"/>
        <w:jc w:val="both"/>
        <w:rPr>
          <w:rFonts w:asciiTheme="minorHAnsi" w:hAnsiTheme="minorHAnsi" w:cstheme="minorHAnsi"/>
          <w:sz w:val="22"/>
          <w:szCs w:val="22"/>
        </w:rPr>
      </w:pPr>
    </w:p>
    <w:p w14:paraId="69BD7920" w14:textId="77777777" w:rsidR="00150AC2" w:rsidRDefault="00150AC2" w:rsidP="00150AC2">
      <w:pPr>
        <w:pStyle w:val="WW-Textoindependiente3"/>
        <w:numPr>
          <w:ilvl w:val="0"/>
          <w:numId w:val="3"/>
        </w:numPr>
        <w:spacing w:line="276" w:lineRule="auto"/>
        <w:rPr>
          <w:rFonts w:asciiTheme="minorHAnsi" w:hAnsiTheme="minorHAnsi" w:cstheme="minorHAnsi"/>
          <w:color w:val="auto"/>
          <w:szCs w:val="22"/>
          <w:lang w:val="es-ES" w:eastAsia="es-ES"/>
        </w:rPr>
      </w:pPr>
      <w:r w:rsidRPr="00F1792B">
        <w:rPr>
          <w:rFonts w:asciiTheme="minorHAnsi" w:hAnsiTheme="minorHAnsi" w:cstheme="minorHAnsi"/>
          <w:color w:val="auto"/>
          <w:szCs w:val="22"/>
          <w:lang w:val="es-ES" w:eastAsia="es-ES"/>
        </w:rPr>
        <w:t>El proveedor debe documentar todas las actividades descritas y anexar los procedimientos operativos propuestos</w:t>
      </w:r>
      <w:r>
        <w:rPr>
          <w:rFonts w:asciiTheme="minorHAnsi" w:hAnsiTheme="minorHAnsi" w:cstheme="minorHAnsi"/>
          <w:color w:val="auto"/>
          <w:szCs w:val="22"/>
          <w:lang w:val="es-ES" w:eastAsia="es-ES"/>
        </w:rPr>
        <w:t>.</w:t>
      </w:r>
    </w:p>
    <w:p w14:paraId="24DCAFAC" w14:textId="77777777" w:rsidR="00150AC2" w:rsidRDefault="00150AC2" w:rsidP="00150AC2">
      <w:pPr>
        <w:pStyle w:val="WW-Textoindependiente3"/>
        <w:spacing w:line="276" w:lineRule="auto"/>
        <w:ind w:left="720"/>
        <w:rPr>
          <w:rFonts w:asciiTheme="minorHAnsi" w:hAnsiTheme="minorHAnsi" w:cstheme="minorHAnsi"/>
          <w:color w:val="auto"/>
          <w:szCs w:val="22"/>
          <w:lang w:val="es-ES" w:eastAsia="es-ES"/>
        </w:rPr>
      </w:pPr>
    </w:p>
    <w:p w14:paraId="414C144E" w14:textId="77777777" w:rsidR="00150AC2" w:rsidRDefault="00150AC2" w:rsidP="00150AC2">
      <w:pPr>
        <w:pStyle w:val="WW-Textoindependiente3"/>
        <w:numPr>
          <w:ilvl w:val="0"/>
          <w:numId w:val="3"/>
        </w:numPr>
        <w:spacing w:line="276" w:lineRule="auto"/>
        <w:rPr>
          <w:rFonts w:asciiTheme="minorHAnsi" w:hAnsiTheme="minorHAnsi" w:cstheme="minorHAnsi"/>
          <w:color w:val="auto"/>
          <w:szCs w:val="22"/>
          <w:lang w:val="es-ES" w:eastAsia="es-ES"/>
        </w:rPr>
      </w:pPr>
      <w:r>
        <w:rPr>
          <w:rFonts w:asciiTheme="minorHAnsi" w:hAnsiTheme="minorHAnsi" w:cstheme="minorHAnsi"/>
          <w:color w:val="auto"/>
          <w:szCs w:val="22"/>
          <w:lang w:val="es-ES" w:eastAsia="es-ES"/>
        </w:rPr>
        <w:t>El proveedor debe n</w:t>
      </w:r>
      <w:r w:rsidRPr="0010136A">
        <w:rPr>
          <w:rFonts w:asciiTheme="minorHAnsi" w:hAnsiTheme="minorHAnsi" w:cstheme="minorHAnsi"/>
          <w:color w:val="auto"/>
          <w:szCs w:val="22"/>
          <w:lang w:val="es-ES" w:eastAsia="es-ES"/>
        </w:rPr>
        <w:t>otificar a Bancóldex en caso de una solicitud de divulgación y los casos</w:t>
      </w:r>
      <w:r>
        <w:rPr>
          <w:rFonts w:asciiTheme="minorHAnsi" w:hAnsiTheme="minorHAnsi" w:cstheme="minorHAnsi"/>
          <w:color w:val="auto"/>
          <w:szCs w:val="22"/>
          <w:lang w:val="es-ES" w:eastAsia="es-ES"/>
        </w:rPr>
        <w:t xml:space="preserve"> de violación de datos.</w:t>
      </w:r>
    </w:p>
    <w:p w14:paraId="1EB3BE5E" w14:textId="77777777" w:rsidR="00150AC2" w:rsidRDefault="00150AC2" w:rsidP="00150AC2">
      <w:pPr>
        <w:pStyle w:val="Prrafodelista"/>
        <w:rPr>
          <w:rFonts w:asciiTheme="minorHAnsi" w:hAnsiTheme="minorHAnsi" w:cstheme="minorHAnsi"/>
          <w:szCs w:val="22"/>
        </w:rPr>
      </w:pPr>
    </w:p>
    <w:p w14:paraId="709AE14E" w14:textId="77777777" w:rsidR="00150AC2" w:rsidRDefault="00150AC2" w:rsidP="00150AC2">
      <w:pPr>
        <w:pStyle w:val="WW-Textoindependiente3"/>
        <w:numPr>
          <w:ilvl w:val="0"/>
          <w:numId w:val="3"/>
        </w:numPr>
        <w:spacing w:line="276" w:lineRule="auto"/>
        <w:rPr>
          <w:rFonts w:asciiTheme="minorHAnsi" w:hAnsiTheme="minorHAnsi" w:cstheme="minorHAnsi"/>
          <w:color w:val="auto"/>
          <w:szCs w:val="22"/>
          <w:lang w:val="es-ES" w:eastAsia="es-ES"/>
        </w:rPr>
      </w:pPr>
      <w:r>
        <w:rPr>
          <w:rFonts w:asciiTheme="minorHAnsi" w:hAnsiTheme="minorHAnsi" w:cstheme="minorHAnsi"/>
          <w:color w:val="auto"/>
          <w:szCs w:val="22"/>
          <w:lang w:val="es-ES" w:eastAsia="es-ES"/>
        </w:rPr>
        <w:t xml:space="preserve">El proveedor debe divulgar </w:t>
      </w:r>
      <w:r w:rsidRPr="0010136A">
        <w:rPr>
          <w:rFonts w:asciiTheme="minorHAnsi" w:hAnsiTheme="minorHAnsi" w:cstheme="minorHAnsi"/>
          <w:color w:val="auto"/>
          <w:szCs w:val="22"/>
          <w:lang w:val="es-ES" w:eastAsia="es-ES"/>
        </w:rPr>
        <w:t xml:space="preserve">a Bancóldex la información sobre todos los subcontratistas utilizados para </w:t>
      </w:r>
      <w:r>
        <w:rPr>
          <w:rFonts w:asciiTheme="minorHAnsi" w:hAnsiTheme="minorHAnsi" w:cstheme="minorHAnsi"/>
          <w:color w:val="auto"/>
          <w:szCs w:val="22"/>
          <w:lang w:val="es-ES" w:eastAsia="es-ES"/>
        </w:rPr>
        <w:t>el desarrollo del proyecto.</w:t>
      </w:r>
    </w:p>
    <w:p w14:paraId="00C26048" w14:textId="77777777" w:rsidR="00150AC2" w:rsidRDefault="00150AC2" w:rsidP="00150AC2">
      <w:pPr>
        <w:pStyle w:val="Prrafodelista"/>
        <w:rPr>
          <w:rFonts w:asciiTheme="minorHAnsi" w:hAnsiTheme="minorHAnsi" w:cstheme="minorHAnsi"/>
          <w:szCs w:val="22"/>
        </w:rPr>
      </w:pPr>
    </w:p>
    <w:p w14:paraId="3BF44FD9" w14:textId="77777777" w:rsidR="00150AC2" w:rsidRDefault="00150AC2" w:rsidP="00150AC2">
      <w:pPr>
        <w:pStyle w:val="WW-Textoindependiente3"/>
        <w:numPr>
          <w:ilvl w:val="0"/>
          <w:numId w:val="3"/>
        </w:numPr>
        <w:spacing w:line="276" w:lineRule="auto"/>
        <w:rPr>
          <w:rFonts w:asciiTheme="minorHAnsi" w:hAnsiTheme="minorHAnsi" w:cstheme="minorHAnsi"/>
          <w:color w:val="auto"/>
          <w:szCs w:val="22"/>
          <w:lang w:val="es-ES" w:eastAsia="es-ES"/>
        </w:rPr>
      </w:pPr>
      <w:r>
        <w:rPr>
          <w:rFonts w:asciiTheme="minorHAnsi" w:hAnsiTheme="minorHAnsi" w:cstheme="minorHAnsi"/>
          <w:color w:val="auto"/>
          <w:szCs w:val="22"/>
          <w:lang w:val="es-ES" w:eastAsia="es-ES"/>
        </w:rPr>
        <w:t>El proveedor debe e</w:t>
      </w:r>
      <w:r w:rsidRPr="0010136A">
        <w:rPr>
          <w:rFonts w:asciiTheme="minorHAnsi" w:hAnsiTheme="minorHAnsi" w:cstheme="minorHAnsi"/>
          <w:color w:val="auto"/>
          <w:szCs w:val="22"/>
          <w:lang w:val="es-ES" w:eastAsia="es-ES"/>
        </w:rPr>
        <w:t>stablecer acuerdos de confidencialidad para las personas (funcionarios) que pueden acceder a datos personales</w:t>
      </w:r>
      <w:r>
        <w:rPr>
          <w:rFonts w:asciiTheme="minorHAnsi" w:hAnsiTheme="minorHAnsi" w:cstheme="minorHAnsi"/>
          <w:color w:val="auto"/>
          <w:szCs w:val="22"/>
          <w:lang w:val="es-ES" w:eastAsia="es-ES"/>
        </w:rPr>
        <w:t xml:space="preserve"> dentro de la cadena de abastecimiento.</w:t>
      </w:r>
    </w:p>
    <w:p w14:paraId="26A7F953" w14:textId="77777777" w:rsidR="00150AC2" w:rsidRDefault="00150AC2" w:rsidP="00150AC2">
      <w:pPr>
        <w:pStyle w:val="Prrafodelista"/>
        <w:rPr>
          <w:rFonts w:asciiTheme="minorHAnsi" w:hAnsiTheme="minorHAnsi" w:cstheme="minorHAnsi"/>
          <w:szCs w:val="22"/>
        </w:rPr>
      </w:pPr>
    </w:p>
    <w:p w14:paraId="15149AA7" w14:textId="77777777" w:rsidR="00150AC2" w:rsidRDefault="00150AC2" w:rsidP="00150AC2">
      <w:pPr>
        <w:pStyle w:val="WW-Textoindependiente3"/>
        <w:numPr>
          <w:ilvl w:val="0"/>
          <w:numId w:val="3"/>
        </w:numPr>
        <w:spacing w:line="276" w:lineRule="auto"/>
        <w:rPr>
          <w:rFonts w:asciiTheme="minorHAnsi" w:hAnsiTheme="minorHAnsi" w:cstheme="minorHAnsi"/>
          <w:color w:val="auto"/>
          <w:szCs w:val="22"/>
          <w:lang w:val="es-ES" w:eastAsia="es-ES"/>
        </w:rPr>
      </w:pPr>
      <w:r>
        <w:rPr>
          <w:rFonts w:asciiTheme="minorHAnsi" w:hAnsiTheme="minorHAnsi" w:cstheme="minorHAnsi"/>
          <w:color w:val="auto"/>
          <w:szCs w:val="22"/>
          <w:lang w:val="es-ES" w:eastAsia="es-ES"/>
        </w:rPr>
        <w:t>El proveedor debe e</w:t>
      </w:r>
      <w:r w:rsidRPr="0010136A">
        <w:rPr>
          <w:rFonts w:asciiTheme="minorHAnsi" w:hAnsiTheme="minorHAnsi" w:cstheme="minorHAnsi"/>
          <w:color w:val="auto"/>
          <w:szCs w:val="22"/>
          <w:lang w:val="es-ES" w:eastAsia="es-ES"/>
        </w:rPr>
        <w:t xml:space="preserve">specificar a Bancóldex el procedimiento para la </w:t>
      </w:r>
      <w:r>
        <w:rPr>
          <w:rFonts w:asciiTheme="minorHAnsi" w:hAnsiTheme="minorHAnsi" w:cstheme="minorHAnsi"/>
          <w:color w:val="auto"/>
          <w:szCs w:val="22"/>
          <w:lang w:val="es-ES" w:eastAsia="es-ES"/>
        </w:rPr>
        <w:t xml:space="preserve">recuperación y </w:t>
      </w:r>
      <w:r w:rsidRPr="0010136A">
        <w:rPr>
          <w:rFonts w:asciiTheme="minorHAnsi" w:hAnsiTheme="minorHAnsi" w:cstheme="minorHAnsi"/>
          <w:color w:val="auto"/>
          <w:szCs w:val="22"/>
          <w:lang w:val="es-ES" w:eastAsia="es-ES"/>
        </w:rPr>
        <w:t>restauración de datos</w:t>
      </w:r>
      <w:r>
        <w:rPr>
          <w:rFonts w:asciiTheme="minorHAnsi" w:hAnsiTheme="minorHAnsi" w:cstheme="minorHAnsi"/>
          <w:color w:val="auto"/>
          <w:szCs w:val="22"/>
          <w:lang w:val="es-ES" w:eastAsia="es-ES"/>
        </w:rPr>
        <w:t xml:space="preserve"> o contenidos cargados.</w:t>
      </w:r>
    </w:p>
    <w:p w14:paraId="527DC6AB" w14:textId="77777777" w:rsidR="00150AC2" w:rsidRDefault="00150AC2" w:rsidP="00150AC2">
      <w:pPr>
        <w:pStyle w:val="WW-Textoindependiente3"/>
        <w:spacing w:line="276" w:lineRule="auto"/>
        <w:ind w:left="720"/>
        <w:rPr>
          <w:rFonts w:asciiTheme="minorHAnsi" w:hAnsiTheme="minorHAnsi" w:cstheme="minorHAnsi"/>
          <w:color w:val="auto"/>
          <w:szCs w:val="22"/>
          <w:lang w:val="es-ES" w:eastAsia="es-ES"/>
        </w:rPr>
      </w:pPr>
    </w:p>
    <w:p w14:paraId="3E3B6B55" w14:textId="77777777" w:rsidR="00150AC2" w:rsidRDefault="00150AC2" w:rsidP="00150AC2">
      <w:pPr>
        <w:pStyle w:val="WW-Textoindependiente3"/>
        <w:numPr>
          <w:ilvl w:val="0"/>
          <w:numId w:val="3"/>
        </w:numPr>
        <w:spacing w:line="276" w:lineRule="auto"/>
        <w:rPr>
          <w:rFonts w:asciiTheme="minorHAnsi" w:hAnsiTheme="minorHAnsi" w:cs="Tahoma"/>
          <w:color w:val="auto"/>
          <w:szCs w:val="22"/>
          <w:lang w:val="es-ES" w:eastAsia="es-ES"/>
        </w:rPr>
      </w:pPr>
      <w:r w:rsidRPr="00947CAB">
        <w:rPr>
          <w:rFonts w:asciiTheme="minorHAnsi" w:hAnsiTheme="minorHAnsi" w:cs="Tahoma"/>
          <w:color w:val="auto"/>
          <w:szCs w:val="22"/>
          <w:lang w:val="es-ES" w:eastAsia="es-ES"/>
        </w:rPr>
        <w:t>Si la solución está implementada sobre nube, adicionalmente se debe tener en cuenta lo siguiente:</w:t>
      </w:r>
    </w:p>
    <w:p w14:paraId="08917439" w14:textId="77777777" w:rsidR="00150AC2" w:rsidRPr="00947CAB" w:rsidRDefault="00150AC2" w:rsidP="00150AC2">
      <w:pPr>
        <w:pStyle w:val="WW-Textoindependiente3"/>
        <w:spacing w:line="276" w:lineRule="auto"/>
        <w:rPr>
          <w:rFonts w:asciiTheme="minorHAnsi" w:hAnsiTheme="minorHAnsi" w:cs="Tahoma"/>
          <w:color w:val="auto"/>
          <w:szCs w:val="22"/>
          <w:lang w:val="es-ES" w:eastAsia="es-ES"/>
        </w:rPr>
      </w:pPr>
    </w:p>
    <w:p w14:paraId="4F24681A" w14:textId="77777777" w:rsidR="00150AC2" w:rsidRPr="00947CAB" w:rsidRDefault="00150AC2" w:rsidP="00150AC2">
      <w:pPr>
        <w:pStyle w:val="Prrafodelista"/>
        <w:numPr>
          <w:ilvl w:val="0"/>
          <w:numId w:val="9"/>
        </w:numPr>
        <w:spacing w:after="200" w:line="276" w:lineRule="auto"/>
        <w:contextualSpacing/>
        <w:jc w:val="both"/>
        <w:rPr>
          <w:rFonts w:asciiTheme="minorHAnsi" w:hAnsiTheme="minorHAnsi"/>
          <w:sz w:val="22"/>
          <w:szCs w:val="22"/>
        </w:rPr>
      </w:pPr>
      <w:r>
        <w:rPr>
          <w:rFonts w:asciiTheme="minorHAnsi" w:hAnsiTheme="minorHAnsi"/>
          <w:sz w:val="22"/>
          <w:szCs w:val="22"/>
        </w:rPr>
        <w:t>Presentar la información de los T</w:t>
      </w:r>
      <w:r w:rsidRPr="00947CAB">
        <w:rPr>
          <w:rFonts w:asciiTheme="minorHAnsi" w:hAnsiTheme="minorHAnsi"/>
          <w:sz w:val="22"/>
          <w:szCs w:val="22"/>
        </w:rPr>
        <w:t>erceros que participan en la solución de la nube (cadena de valor d</w:t>
      </w:r>
      <w:r>
        <w:rPr>
          <w:rFonts w:asciiTheme="minorHAnsi" w:hAnsiTheme="minorHAnsi"/>
          <w:sz w:val="22"/>
          <w:szCs w:val="22"/>
        </w:rPr>
        <w:t>e la nube).</w:t>
      </w:r>
    </w:p>
    <w:p w14:paraId="42BA8C88" w14:textId="77777777" w:rsidR="00150AC2" w:rsidRPr="00947CAB" w:rsidRDefault="00150AC2" w:rsidP="00150AC2">
      <w:pPr>
        <w:pStyle w:val="Prrafodelista"/>
        <w:numPr>
          <w:ilvl w:val="0"/>
          <w:numId w:val="9"/>
        </w:numPr>
        <w:spacing w:after="200" w:line="276" w:lineRule="auto"/>
        <w:contextualSpacing/>
        <w:jc w:val="both"/>
        <w:rPr>
          <w:rFonts w:asciiTheme="minorHAnsi" w:hAnsiTheme="minorHAnsi"/>
          <w:sz w:val="22"/>
          <w:szCs w:val="22"/>
        </w:rPr>
      </w:pPr>
      <w:r>
        <w:rPr>
          <w:rFonts w:asciiTheme="minorHAnsi" w:hAnsiTheme="minorHAnsi"/>
          <w:sz w:val="22"/>
          <w:szCs w:val="22"/>
        </w:rPr>
        <w:t>Detallar la m</w:t>
      </w:r>
      <w:r w:rsidRPr="00947CAB">
        <w:rPr>
          <w:rFonts w:asciiTheme="minorHAnsi" w:hAnsiTheme="minorHAnsi"/>
          <w:sz w:val="22"/>
          <w:szCs w:val="22"/>
        </w:rPr>
        <w:t>odalidad de nube que se está ofrecie</w:t>
      </w:r>
      <w:r>
        <w:rPr>
          <w:rFonts w:asciiTheme="minorHAnsi" w:hAnsiTheme="minorHAnsi"/>
          <w:sz w:val="22"/>
          <w:szCs w:val="22"/>
        </w:rPr>
        <w:t>ndo (privada, híbrida, publica</w:t>
      </w:r>
      <w:r w:rsidRPr="00947CAB">
        <w:rPr>
          <w:rFonts w:asciiTheme="minorHAnsi" w:hAnsiTheme="minorHAnsi"/>
          <w:sz w:val="22"/>
          <w:szCs w:val="22"/>
        </w:rPr>
        <w:t>)</w:t>
      </w:r>
      <w:r>
        <w:rPr>
          <w:rFonts w:asciiTheme="minorHAnsi" w:hAnsiTheme="minorHAnsi"/>
          <w:sz w:val="22"/>
          <w:szCs w:val="22"/>
        </w:rPr>
        <w:t>, ventajas y beneficios.</w:t>
      </w:r>
    </w:p>
    <w:p w14:paraId="09AE0424" w14:textId="77777777" w:rsidR="00150AC2" w:rsidRPr="002E030A" w:rsidRDefault="00150AC2" w:rsidP="00150AC2">
      <w:pPr>
        <w:pStyle w:val="Prrafodelista"/>
        <w:numPr>
          <w:ilvl w:val="0"/>
          <w:numId w:val="9"/>
        </w:numPr>
        <w:contextualSpacing/>
        <w:jc w:val="both"/>
        <w:rPr>
          <w:rFonts w:asciiTheme="minorHAnsi" w:hAnsiTheme="minorHAnsi" w:cs="Arial"/>
          <w:sz w:val="22"/>
          <w:szCs w:val="22"/>
        </w:rPr>
      </w:pPr>
      <w:r>
        <w:rPr>
          <w:rFonts w:asciiTheme="minorHAnsi" w:hAnsiTheme="minorHAnsi"/>
          <w:sz w:val="22"/>
          <w:szCs w:val="22"/>
        </w:rPr>
        <w:t>Detallar cómo funciona la a</w:t>
      </w:r>
      <w:r w:rsidRPr="002E030A">
        <w:rPr>
          <w:rFonts w:asciiTheme="minorHAnsi" w:hAnsiTheme="minorHAnsi"/>
          <w:sz w:val="22"/>
          <w:szCs w:val="22"/>
        </w:rPr>
        <w:t>dministración de copias de seguridad durante la ejecución del contrato. Si Bancóldex</w:t>
      </w:r>
      <w:r>
        <w:rPr>
          <w:rFonts w:asciiTheme="minorHAnsi" w:hAnsiTheme="minorHAnsi"/>
          <w:sz w:val="22"/>
          <w:szCs w:val="22"/>
        </w:rPr>
        <w:t xml:space="preserve"> </w:t>
      </w:r>
      <w:r w:rsidRPr="002E030A">
        <w:rPr>
          <w:rFonts w:asciiTheme="minorHAnsi" w:hAnsiTheme="minorHAnsi"/>
          <w:sz w:val="22"/>
          <w:szCs w:val="22"/>
        </w:rPr>
        <w:t xml:space="preserve">recibirá durante el contrato copias de respaldo periódicas que minimicen la dependencia total del proveedor en tal sentido. Especificar: </w:t>
      </w:r>
      <w:r w:rsidRPr="002E030A">
        <w:rPr>
          <w:rFonts w:asciiTheme="minorHAnsi" w:hAnsiTheme="minorHAnsi" w:cs="Arial"/>
          <w:sz w:val="22"/>
          <w:szCs w:val="22"/>
        </w:rPr>
        <w:t>periodicidad y di</w:t>
      </w:r>
      <w:r>
        <w:rPr>
          <w:rFonts w:asciiTheme="minorHAnsi" w:hAnsiTheme="minorHAnsi" w:cs="Arial"/>
          <w:sz w:val="22"/>
          <w:szCs w:val="22"/>
        </w:rPr>
        <w:t xml:space="preserve">sponibilidad de custodia </w:t>
      </w:r>
      <w:r w:rsidRPr="002E030A">
        <w:rPr>
          <w:rFonts w:asciiTheme="minorHAnsi" w:hAnsiTheme="minorHAnsi" w:cs="Arial"/>
          <w:sz w:val="22"/>
          <w:szCs w:val="22"/>
        </w:rPr>
        <w:t>de forma que se garantice la plena disponibilidad e inte</w:t>
      </w:r>
      <w:r>
        <w:rPr>
          <w:rFonts w:asciiTheme="minorHAnsi" w:hAnsiTheme="minorHAnsi" w:cs="Arial"/>
          <w:sz w:val="22"/>
          <w:szCs w:val="22"/>
        </w:rPr>
        <w:t>gridad de los datos almacenados.</w:t>
      </w:r>
    </w:p>
    <w:p w14:paraId="73E19E89" w14:textId="77777777" w:rsidR="00150AC2" w:rsidRPr="00947CAB" w:rsidRDefault="00150AC2" w:rsidP="00150AC2">
      <w:pPr>
        <w:pStyle w:val="Prrafodelista"/>
        <w:numPr>
          <w:ilvl w:val="0"/>
          <w:numId w:val="9"/>
        </w:numPr>
        <w:spacing w:after="200" w:line="276" w:lineRule="auto"/>
        <w:contextualSpacing/>
        <w:jc w:val="both"/>
        <w:rPr>
          <w:rFonts w:asciiTheme="minorHAnsi" w:hAnsiTheme="minorHAnsi"/>
          <w:sz w:val="22"/>
          <w:szCs w:val="22"/>
        </w:rPr>
      </w:pPr>
      <w:r>
        <w:rPr>
          <w:rFonts w:asciiTheme="minorHAnsi" w:hAnsiTheme="minorHAnsi"/>
          <w:sz w:val="22"/>
          <w:szCs w:val="22"/>
        </w:rPr>
        <w:t xml:space="preserve">Describir los </w:t>
      </w:r>
      <w:r w:rsidRPr="00947CAB">
        <w:rPr>
          <w:rFonts w:asciiTheme="minorHAnsi" w:hAnsiTheme="minorHAnsi"/>
          <w:sz w:val="22"/>
          <w:szCs w:val="22"/>
        </w:rPr>
        <w:t xml:space="preserve">Acuerdos de nivel de servicio tanto para disponibilidad </w:t>
      </w:r>
      <w:r>
        <w:rPr>
          <w:rFonts w:asciiTheme="minorHAnsi" w:hAnsiTheme="minorHAnsi"/>
          <w:sz w:val="22"/>
          <w:szCs w:val="22"/>
        </w:rPr>
        <w:t>como para desempeño del sistema.</w:t>
      </w:r>
    </w:p>
    <w:p w14:paraId="318BD639" w14:textId="77777777" w:rsidR="00150AC2" w:rsidRPr="00EA01DA" w:rsidRDefault="00150AC2" w:rsidP="00150AC2">
      <w:pPr>
        <w:pStyle w:val="Prrafodelista"/>
        <w:numPr>
          <w:ilvl w:val="0"/>
          <w:numId w:val="9"/>
        </w:numPr>
        <w:spacing w:after="200" w:line="276" w:lineRule="auto"/>
        <w:contextualSpacing/>
        <w:jc w:val="both"/>
        <w:rPr>
          <w:rFonts w:asciiTheme="minorHAnsi" w:hAnsiTheme="minorHAnsi"/>
          <w:sz w:val="22"/>
          <w:szCs w:val="22"/>
        </w:rPr>
      </w:pPr>
      <w:r w:rsidRPr="00947CAB">
        <w:rPr>
          <w:rFonts w:asciiTheme="minorHAnsi" w:hAnsiTheme="minorHAnsi"/>
          <w:sz w:val="22"/>
          <w:szCs w:val="22"/>
        </w:rPr>
        <w:t>Tratamiento transfronterizo de datos. En este caso, dónde estarán los datos tanto en ambiente de producción c</w:t>
      </w:r>
      <w:r>
        <w:rPr>
          <w:rFonts w:asciiTheme="minorHAnsi" w:hAnsiTheme="minorHAnsi"/>
          <w:sz w:val="22"/>
          <w:szCs w:val="22"/>
        </w:rPr>
        <w:t>omo en ambiente de contingencia.</w:t>
      </w:r>
    </w:p>
    <w:p w14:paraId="5CA60446" w14:textId="77777777" w:rsidR="00150AC2" w:rsidRDefault="00150AC2" w:rsidP="00150AC2"/>
    <w:p w14:paraId="67FEDAC7" w14:textId="77777777" w:rsidR="002F3454" w:rsidRDefault="002F3454"/>
    <w:sectPr w:rsidR="002F34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09B1E" w14:textId="77777777" w:rsidR="005D6093" w:rsidRDefault="005D6093" w:rsidP="00150AC2">
      <w:r>
        <w:separator/>
      </w:r>
    </w:p>
  </w:endnote>
  <w:endnote w:type="continuationSeparator" w:id="0">
    <w:p w14:paraId="72F9B153" w14:textId="77777777" w:rsidR="005D6093" w:rsidRDefault="005D6093" w:rsidP="0015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CAF1B" w14:textId="77777777" w:rsidR="005D6093" w:rsidRDefault="005D6093" w:rsidP="00150AC2">
      <w:r>
        <w:separator/>
      </w:r>
    </w:p>
  </w:footnote>
  <w:footnote w:type="continuationSeparator" w:id="0">
    <w:p w14:paraId="40AEBD0B" w14:textId="77777777" w:rsidR="005D6093" w:rsidRDefault="005D6093" w:rsidP="00150AC2">
      <w:r>
        <w:continuationSeparator/>
      </w:r>
    </w:p>
  </w:footnote>
  <w:footnote w:id="1">
    <w:p w14:paraId="1C324523" w14:textId="77777777" w:rsidR="00150AC2" w:rsidRDefault="00150AC2" w:rsidP="00150A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6F3"/>
    <w:multiLevelType w:val="hybridMultilevel"/>
    <w:tmpl w:val="D5D00E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B7C4093"/>
    <w:multiLevelType w:val="hybridMultilevel"/>
    <w:tmpl w:val="F0BA9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3E5DA9"/>
    <w:multiLevelType w:val="hybridMultilevel"/>
    <w:tmpl w:val="625CCB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01D69A0"/>
    <w:multiLevelType w:val="hybridMultilevel"/>
    <w:tmpl w:val="0082EF10"/>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2D22246"/>
    <w:multiLevelType w:val="hybridMultilevel"/>
    <w:tmpl w:val="930487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D0288E"/>
    <w:multiLevelType w:val="hybridMultilevel"/>
    <w:tmpl w:val="33CA1312"/>
    <w:lvl w:ilvl="0" w:tplc="240A0001">
      <w:start w:val="1"/>
      <w:numFmt w:val="bullet"/>
      <w:lvlText w:val=""/>
      <w:lvlJc w:val="left"/>
      <w:pPr>
        <w:ind w:left="754" w:hanging="360"/>
      </w:pPr>
      <w:rPr>
        <w:rFonts w:ascii="Symbol" w:hAnsi="Symbol" w:hint="default"/>
        <w:b w:val="0"/>
      </w:rPr>
    </w:lvl>
    <w:lvl w:ilvl="1" w:tplc="240A0019">
      <w:start w:val="1"/>
      <w:numFmt w:val="lowerLetter"/>
      <w:lvlText w:val="%2."/>
      <w:lvlJc w:val="left"/>
      <w:pPr>
        <w:ind w:left="1474" w:hanging="360"/>
      </w:pPr>
    </w:lvl>
    <w:lvl w:ilvl="2" w:tplc="240A001B" w:tentative="1">
      <w:start w:val="1"/>
      <w:numFmt w:val="lowerRoman"/>
      <w:lvlText w:val="%3."/>
      <w:lvlJc w:val="right"/>
      <w:pPr>
        <w:ind w:left="2194" w:hanging="180"/>
      </w:pPr>
    </w:lvl>
    <w:lvl w:ilvl="3" w:tplc="240A000F" w:tentative="1">
      <w:start w:val="1"/>
      <w:numFmt w:val="decimal"/>
      <w:lvlText w:val="%4."/>
      <w:lvlJc w:val="left"/>
      <w:pPr>
        <w:ind w:left="2914" w:hanging="360"/>
      </w:pPr>
    </w:lvl>
    <w:lvl w:ilvl="4" w:tplc="240A0019" w:tentative="1">
      <w:start w:val="1"/>
      <w:numFmt w:val="lowerLetter"/>
      <w:lvlText w:val="%5."/>
      <w:lvlJc w:val="left"/>
      <w:pPr>
        <w:ind w:left="3634" w:hanging="360"/>
      </w:pPr>
    </w:lvl>
    <w:lvl w:ilvl="5" w:tplc="240A001B" w:tentative="1">
      <w:start w:val="1"/>
      <w:numFmt w:val="lowerRoman"/>
      <w:lvlText w:val="%6."/>
      <w:lvlJc w:val="right"/>
      <w:pPr>
        <w:ind w:left="4354" w:hanging="180"/>
      </w:pPr>
    </w:lvl>
    <w:lvl w:ilvl="6" w:tplc="240A000F" w:tentative="1">
      <w:start w:val="1"/>
      <w:numFmt w:val="decimal"/>
      <w:lvlText w:val="%7."/>
      <w:lvlJc w:val="left"/>
      <w:pPr>
        <w:ind w:left="5074" w:hanging="360"/>
      </w:pPr>
    </w:lvl>
    <w:lvl w:ilvl="7" w:tplc="240A0019" w:tentative="1">
      <w:start w:val="1"/>
      <w:numFmt w:val="lowerLetter"/>
      <w:lvlText w:val="%8."/>
      <w:lvlJc w:val="left"/>
      <w:pPr>
        <w:ind w:left="5794" w:hanging="360"/>
      </w:pPr>
    </w:lvl>
    <w:lvl w:ilvl="8" w:tplc="240A001B" w:tentative="1">
      <w:start w:val="1"/>
      <w:numFmt w:val="lowerRoman"/>
      <w:lvlText w:val="%9."/>
      <w:lvlJc w:val="right"/>
      <w:pPr>
        <w:ind w:left="6514" w:hanging="180"/>
      </w:pPr>
    </w:lvl>
  </w:abstractNum>
  <w:abstractNum w:abstractNumId="6" w15:restartNumberingAfterBreak="0">
    <w:nsid w:val="4F8E3456"/>
    <w:multiLevelType w:val="hybridMultilevel"/>
    <w:tmpl w:val="2BFCC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CF16062"/>
    <w:multiLevelType w:val="hybridMultilevel"/>
    <w:tmpl w:val="C06457D0"/>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61E725FA"/>
    <w:multiLevelType w:val="hybridMultilevel"/>
    <w:tmpl w:val="3B546F64"/>
    <w:lvl w:ilvl="0" w:tplc="240A000D">
      <w:start w:val="1"/>
      <w:numFmt w:val="bullet"/>
      <w:lvlText w:val=""/>
      <w:lvlJc w:val="left"/>
      <w:pPr>
        <w:ind w:left="1068" w:hanging="360"/>
      </w:pPr>
      <w:rPr>
        <w:rFonts w:ascii="Wingdings" w:hAnsi="Wingdings" w:hint="default"/>
      </w:rPr>
    </w:lvl>
    <w:lvl w:ilvl="1" w:tplc="240A000D">
      <w:start w:val="1"/>
      <w:numFmt w:val="bullet"/>
      <w:lvlText w:val=""/>
      <w:lvlJc w:val="left"/>
      <w:pPr>
        <w:ind w:left="1788" w:hanging="360"/>
      </w:pPr>
      <w:rPr>
        <w:rFonts w:ascii="Wingdings" w:hAnsi="Wingdings"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62C14FA4"/>
    <w:multiLevelType w:val="multilevel"/>
    <w:tmpl w:val="AE4C29C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0" w15:restartNumberingAfterBreak="0">
    <w:nsid w:val="70D86DD2"/>
    <w:multiLevelType w:val="hybridMultilevel"/>
    <w:tmpl w:val="BC545950"/>
    <w:lvl w:ilvl="0" w:tplc="240A000D">
      <w:start w:val="1"/>
      <w:numFmt w:val="bullet"/>
      <w:lvlText w:val=""/>
      <w:lvlJc w:val="left"/>
      <w:pPr>
        <w:ind w:left="1080" w:hanging="360"/>
      </w:pPr>
      <w:rPr>
        <w:rFonts w:ascii="Wingdings" w:hAnsi="Wingding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72824569"/>
    <w:multiLevelType w:val="multilevel"/>
    <w:tmpl w:val="7EFCE5DC"/>
    <w:lvl w:ilvl="0">
      <w:start w:val="1"/>
      <w:numFmt w:val="decimal"/>
      <w:lvlText w:val="%1"/>
      <w:lvlJc w:val="left"/>
      <w:pPr>
        <w:tabs>
          <w:tab w:val="num" w:pos="360"/>
        </w:tabs>
        <w:ind w:left="360" w:hanging="360"/>
      </w:pPr>
      <w:rPr>
        <w:rFonts w:hint="default"/>
      </w:rPr>
    </w:lvl>
    <w:lvl w:ilvl="1">
      <w:start w:val="2"/>
      <w:numFmt w:val="none"/>
      <w:pStyle w:val="Titulo23"/>
      <w:lvlText w:val="3.1"/>
      <w:lvlJc w:val="left"/>
      <w:pPr>
        <w:tabs>
          <w:tab w:val="num" w:pos="644"/>
        </w:tabs>
        <w:ind w:left="644" w:hanging="360"/>
      </w:pPr>
      <w:rPr>
        <w:rFonts w:hint="default"/>
        <w:b/>
        <w:i w:val="0"/>
      </w:rPr>
    </w:lvl>
    <w:lvl w:ilvl="2">
      <w:start w:val="1"/>
      <w:numFmt w:val="decimal"/>
      <w:pStyle w:val="Titulo2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58F3570"/>
    <w:multiLevelType w:val="hybridMultilevel"/>
    <w:tmpl w:val="84FAE0B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0"/>
  </w:num>
  <w:num w:numId="4">
    <w:abstractNumId w:val="2"/>
  </w:num>
  <w:num w:numId="5">
    <w:abstractNumId w:val="4"/>
  </w:num>
  <w:num w:numId="6">
    <w:abstractNumId w:val="1"/>
  </w:num>
  <w:num w:numId="7">
    <w:abstractNumId w:val="6"/>
  </w:num>
  <w:num w:numId="8">
    <w:abstractNumId w:val="5"/>
  </w:num>
  <w:num w:numId="9">
    <w:abstractNumId w:val="10"/>
  </w:num>
  <w:num w:numId="10">
    <w:abstractNumId w:val="12"/>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5A"/>
    <w:rsid w:val="00150AC2"/>
    <w:rsid w:val="001601A8"/>
    <w:rsid w:val="002B4AA3"/>
    <w:rsid w:val="002F3454"/>
    <w:rsid w:val="005D6093"/>
    <w:rsid w:val="00767E03"/>
    <w:rsid w:val="00F82F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C15F"/>
  <w15:chartTrackingRefBased/>
  <w15:docId w15:val="{7EBD1066-7856-4562-968B-AE74B7F4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AC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150AC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50AC2"/>
    <w:rPr>
      <w:rFonts w:asciiTheme="majorHAnsi" w:eastAsiaTheme="majorEastAsia" w:hAnsiTheme="majorHAnsi" w:cstheme="majorBidi"/>
      <w:color w:val="2E74B5" w:themeColor="accent1" w:themeShade="BF"/>
      <w:sz w:val="26"/>
      <w:szCs w:val="26"/>
      <w:lang w:val="es-ES" w:eastAsia="es-ES"/>
    </w:rPr>
  </w:style>
  <w:style w:type="paragraph" w:styleId="Prrafodelista">
    <w:name w:val="List Paragraph"/>
    <w:basedOn w:val="Normal"/>
    <w:link w:val="PrrafodelistaCar"/>
    <w:uiPriority w:val="34"/>
    <w:qFormat/>
    <w:rsid w:val="00150AC2"/>
    <w:pPr>
      <w:ind w:left="708"/>
    </w:pPr>
  </w:style>
  <w:style w:type="character" w:customStyle="1" w:styleId="PrrafodelistaCar">
    <w:name w:val="Párrafo de lista Car"/>
    <w:link w:val="Prrafodelista"/>
    <w:uiPriority w:val="34"/>
    <w:locked/>
    <w:rsid w:val="00150AC2"/>
    <w:rPr>
      <w:rFonts w:ascii="Times New Roman" w:eastAsia="Times New Roman" w:hAnsi="Times New Roman" w:cs="Times New Roman"/>
      <w:sz w:val="24"/>
      <w:szCs w:val="24"/>
      <w:lang w:val="es-ES" w:eastAsia="es-ES"/>
    </w:rPr>
  </w:style>
  <w:style w:type="character" w:styleId="Refdenotaalpie">
    <w:name w:val="footnote reference"/>
    <w:semiHidden/>
    <w:rsid w:val="00150AC2"/>
    <w:rPr>
      <w:vertAlign w:val="superscript"/>
    </w:rPr>
  </w:style>
  <w:style w:type="paragraph" w:customStyle="1" w:styleId="Titulo23">
    <w:name w:val="Titulo 23"/>
    <w:basedOn w:val="Ttulo2"/>
    <w:rsid w:val="00150AC2"/>
    <w:pPr>
      <w:keepLines w:val="0"/>
      <w:numPr>
        <w:ilvl w:val="2"/>
        <w:numId w:val="2"/>
      </w:numPr>
      <w:spacing w:before="0" w:line="276" w:lineRule="auto"/>
    </w:pPr>
    <w:rPr>
      <w:rFonts w:ascii="Arial" w:eastAsia="Times New Roman" w:hAnsi="Arial" w:cs="Arial"/>
      <w:b/>
      <w:bCs/>
      <w:iCs/>
      <w:color w:val="auto"/>
      <w:sz w:val="22"/>
      <w:szCs w:val="22"/>
    </w:rPr>
  </w:style>
  <w:style w:type="paragraph" w:styleId="Sinespaciado">
    <w:name w:val="No Spacing"/>
    <w:link w:val="SinespaciadoCar"/>
    <w:uiPriority w:val="1"/>
    <w:qFormat/>
    <w:rsid w:val="00150AC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150AC2"/>
    <w:rPr>
      <w:rFonts w:ascii="Calibri" w:eastAsia="Calibri" w:hAnsi="Calibri" w:cs="Times New Roman"/>
    </w:rPr>
  </w:style>
  <w:style w:type="paragraph" w:customStyle="1" w:styleId="WW-Textoindependiente3">
    <w:name w:val="WW-Texto independiente 3"/>
    <w:basedOn w:val="Normal"/>
    <w:rsid w:val="00150AC2"/>
    <w:pPr>
      <w:suppressAutoHyphens/>
      <w:jc w:val="both"/>
    </w:pPr>
    <w:rPr>
      <w:rFonts w:ascii="Arial" w:hAnsi="Arial"/>
      <w:color w:val="FF0000"/>
      <w:sz w:val="22"/>
      <w:szCs w:val="20"/>
      <w:lang w:val="es-CO" w:eastAsia="ar-SA"/>
    </w:rPr>
  </w:style>
  <w:style w:type="character" w:styleId="Refdecomentario">
    <w:name w:val="annotation reference"/>
    <w:uiPriority w:val="99"/>
    <w:semiHidden/>
    <w:rsid w:val="00150AC2"/>
    <w:rPr>
      <w:sz w:val="16"/>
      <w:szCs w:val="16"/>
    </w:rPr>
  </w:style>
  <w:style w:type="paragraph" w:styleId="Textocomentario">
    <w:name w:val="annotation text"/>
    <w:basedOn w:val="Normal"/>
    <w:link w:val="TextocomentarioCar"/>
    <w:uiPriority w:val="99"/>
    <w:rsid w:val="00150AC2"/>
    <w:rPr>
      <w:sz w:val="20"/>
      <w:szCs w:val="20"/>
    </w:rPr>
  </w:style>
  <w:style w:type="character" w:customStyle="1" w:styleId="TextocomentarioCar">
    <w:name w:val="Texto comentario Car"/>
    <w:basedOn w:val="Fuentedeprrafopredeter"/>
    <w:link w:val="Textocomentario"/>
    <w:uiPriority w:val="99"/>
    <w:rsid w:val="00150AC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50A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AC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t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1818</Words>
  <Characters>10000</Characters>
  <Application>Microsoft Office Word</Application>
  <DocSecurity>0</DocSecurity>
  <Lines>83</Lines>
  <Paragraphs>23</Paragraphs>
  <ScaleCrop>false</ScaleCrop>
  <Company>Bancoldex</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José Rojas Rivera</dc:creator>
  <cp:keywords/>
  <dc:description/>
  <cp:lastModifiedBy>Pedro José Rojas Rivera</cp:lastModifiedBy>
  <cp:revision>5</cp:revision>
  <dcterms:created xsi:type="dcterms:W3CDTF">2017-05-04T00:16:00Z</dcterms:created>
  <dcterms:modified xsi:type="dcterms:W3CDTF">2017-05-22T20:49:00Z</dcterms:modified>
</cp:coreProperties>
</file>